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4539A" w14:textId="17F31A88" w:rsidR="009221AC" w:rsidRDefault="00EE7003" w:rsidP="009221AC">
      <w:pPr>
        <w:ind w:left="-1800" w:firstLine="1658"/>
      </w:pPr>
      <w:r>
        <w:rPr>
          <w:noProof/>
        </w:rPr>
        <w:drawing>
          <wp:anchor distT="0" distB="0" distL="114300" distR="114300" simplePos="0" relativeHeight="251659264" behindDoc="1" locked="1" layoutInCell="1" allowOverlap="1" wp14:anchorId="644D8861" wp14:editId="01257E69">
            <wp:simplePos x="0" y="0"/>
            <wp:positionH relativeFrom="page">
              <wp:posOffset>0</wp:posOffset>
            </wp:positionH>
            <wp:positionV relativeFrom="page">
              <wp:posOffset>0</wp:posOffset>
            </wp:positionV>
            <wp:extent cx="7538400" cy="2685600"/>
            <wp:effectExtent l="0" t="0" r="571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38400" cy="2685600"/>
                    </a:xfrm>
                    <a:prstGeom prst="rect">
                      <a:avLst/>
                    </a:prstGeom>
                  </pic:spPr>
                </pic:pic>
              </a:graphicData>
            </a:graphic>
            <wp14:sizeRelH relativeFrom="margin">
              <wp14:pctWidth>0</wp14:pctWidth>
            </wp14:sizeRelH>
            <wp14:sizeRelV relativeFrom="margin">
              <wp14:pctHeight>0</wp14:pctHeight>
            </wp14:sizeRelV>
          </wp:anchor>
        </w:drawing>
      </w:r>
    </w:p>
    <w:p w14:paraId="69080E30" w14:textId="2B202AA9" w:rsidR="009221AC" w:rsidRDefault="009221AC" w:rsidP="009221AC">
      <w:pPr>
        <w:ind w:left="-1800" w:firstLine="1658"/>
      </w:pPr>
    </w:p>
    <w:p w14:paraId="75154012" w14:textId="77462B2B" w:rsidR="009221AC" w:rsidRDefault="009221AC" w:rsidP="009221AC">
      <w:pPr>
        <w:ind w:left="-1800" w:firstLine="1658"/>
      </w:pPr>
    </w:p>
    <w:p w14:paraId="4B47DD50" w14:textId="0EEB500A" w:rsidR="009221AC" w:rsidRDefault="009221AC" w:rsidP="009221AC">
      <w:pPr>
        <w:ind w:left="-1800" w:firstLine="1658"/>
      </w:pPr>
    </w:p>
    <w:p w14:paraId="1F0219C2" w14:textId="4C18F9C1" w:rsidR="009221AC" w:rsidRDefault="009221AC" w:rsidP="009221AC">
      <w:pPr>
        <w:ind w:left="-1800" w:firstLine="1658"/>
      </w:pPr>
    </w:p>
    <w:p w14:paraId="2EA2FD32" w14:textId="5D89C20A" w:rsidR="009221AC" w:rsidRDefault="009221AC" w:rsidP="009221AC">
      <w:pPr>
        <w:ind w:left="-1800" w:firstLine="1658"/>
      </w:pPr>
    </w:p>
    <w:p w14:paraId="3DD83936" w14:textId="603D73A6" w:rsidR="009221AC" w:rsidRDefault="009221AC" w:rsidP="009221AC">
      <w:pPr>
        <w:ind w:left="-1800" w:firstLine="1658"/>
      </w:pPr>
    </w:p>
    <w:p w14:paraId="2B17A27D" w14:textId="77777777" w:rsidR="009221AC" w:rsidRDefault="009221AC" w:rsidP="009221AC">
      <w:pPr>
        <w:ind w:left="-1800" w:firstLine="1658"/>
      </w:pPr>
    </w:p>
    <w:p w14:paraId="44C14F08" w14:textId="7FA4E3FD" w:rsidR="009221AC" w:rsidRDefault="009221AC" w:rsidP="009221AC">
      <w:pPr>
        <w:ind w:left="-1800" w:firstLine="1658"/>
      </w:pPr>
    </w:p>
    <w:p w14:paraId="4701B388" w14:textId="0CA72DC9" w:rsidR="009221AC" w:rsidRDefault="00EB1AAC" w:rsidP="009221AC">
      <w:pPr>
        <w:ind w:left="-1800" w:firstLine="1658"/>
      </w:pPr>
      <w:r>
        <w:rPr>
          <w:noProof/>
        </w:rPr>
        <mc:AlternateContent>
          <mc:Choice Requires="wps">
            <w:drawing>
              <wp:anchor distT="0" distB="0" distL="114300" distR="114300" simplePos="0" relativeHeight="251657216" behindDoc="0" locked="0" layoutInCell="1" allowOverlap="1" wp14:anchorId="611B5A12" wp14:editId="41728E89">
                <wp:simplePos x="0" y="0"/>
                <wp:positionH relativeFrom="column">
                  <wp:posOffset>2190750</wp:posOffset>
                </wp:positionH>
                <wp:positionV relativeFrom="paragraph">
                  <wp:posOffset>3810</wp:posOffset>
                </wp:positionV>
                <wp:extent cx="3130550" cy="2952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30550" cy="295275"/>
                        </a:xfrm>
                        <a:prstGeom prst="rect">
                          <a:avLst/>
                        </a:prstGeom>
                        <a:solidFill>
                          <a:srgbClr val="FFFFFF"/>
                        </a:solidFill>
                        <a:ln w="9525">
                          <a:noFill/>
                          <a:miter lim="800000"/>
                          <a:headEnd/>
                          <a:tailEnd/>
                        </a:ln>
                      </wps:spPr>
                      <wps:txbx>
                        <w:txbxContent>
                          <w:p w14:paraId="377828E4" w14:textId="45978F20" w:rsidR="00AF7755" w:rsidRPr="00D951AE" w:rsidRDefault="00260343" w:rsidP="001F24F5">
                            <w:pPr>
                              <w:jc w:val="right"/>
                              <w:rPr>
                                <w:rFonts w:ascii="Arial" w:hAnsi="Arial" w:cs="Arial"/>
                                <w:b/>
                                <w:sz w:val="28"/>
                                <w:szCs w:val="28"/>
                              </w:rPr>
                            </w:pPr>
                            <w:r>
                              <w:rPr>
                                <w:rFonts w:ascii="Arial" w:hAnsi="Arial" w:cs="Arial"/>
                                <w:b/>
                                <w:sz w:val="28"/>
                                <w:szCs w:val="28"/>
                              </w:rPr>
                              <w:t>The Autumn Statement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5A12" id="_x0000_t202" coordsize="21600,21600" o:spt="202" path="m,l,21600r21600,l21600,xe">
                <v:stroke joinstyle="miter"/>
                <v:path gradientshapeok="t" o:connecttype="rect"/>
              </v:shapetype>
              <v:shape id="Text Box 2" o:spid="_x0000_s1026" type="#_x0000_t202" style="position:absolute;left:0;text-align:left;margin-left:172.5pt;margin-top:.3pt;width:246.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" stroked="f">
                <v:textbox>
                  <w:txbxContent>
                    <w:p w14:paraId="377828E4" w14:textId="45978F20" w:rsidR="00AF7755" w:rsidRPr="00D951AE" w:rsidRDefault="00260343" w:rsidP="001F24F5">
                      <w:pPr>
                        <w:jc w:val="right"/>
                        <w:rPr>
                          <w:rFonts w:ascii="Arial" w:hAnsi="Arial" w:cs="Arial"/>
                          <w:b/>
                          <w:sz w:val="28"/>
                          <w:szCs w:val="28"/>
                        </w:rPr>
                      </w:pPr>
                      <w:r>
                        <w:rPr>
                          <w:rFonts w:ascii="Arial" w:hAnsi="Arial" w:cs="Arial"/>
                          <w:b/>
                          <w:sz w:val="28"/>
                          <w:szCs w:val="28"/>
                        </w:rPr>
                        <w:t>The Autumn Statement 2022</w:t>
                      </w:r>
                    </w:p>
                  </w:txbxContent>
                </v:textbox>
              </v:shape>
            </w:pict>
          </mc:Fallback>
        </mc:AlternateContent>
      </w:r>
    </w:p>
    <w:p w14:paraId="27514924" w14:textId="222C6AC8" w:rsidR="009221AC" w:rsidRDefault="009221AC" w:rsidP="009221AC">
      <w:pPr>
        <w:ind w:left="-1800" w:firstLine="1658"/>
      </w:pPr>
    </w:p>
    <w:p w14:paraId="746FB0A8" w14:textId="130CF1BB" w:rsidR="009221AC" w:rsidRDefault="009221AC" w:rsidP="009221AC">
      <w:pPr>
        <w:ind w:left="-1800" w:firstLine="1658"/>
      </w:pPr>
    </w:p>
    <w:p w14:paraId="0E7F9ACE" w14:textId="302AA6A1" w:rsidR="00260343" w:rsidRPr="00260343" w:rsidRDefault="00EB1AAC" w:rsidP="00260343">
      <w:pPr>
        <w:rPr>
          <w:rFonts w:ascii="Arial" w:hAnsi="Arial" w:cs="Arial"/>
          <w:sz w:val="20"/>
          <w:szCs w:val="20"/>
        </w:rPr>
      </w:pPr>
      <w:r w:rsidRPr="00395CB6">
        <w:rPr>
          <w:rFonts w:ascii="Arial" w:hAnsi="Arial" w:cs="Arial"/>
          <w:noProof/>
          <w:sz w:val="20"/>
          <w:szCs w:val="20"/>
          <w:lang w:eastAsia="en-GB"/>
        </w:rPr>
        <mc:AlternateContent>
          <mc:Choice Requires="wps">
            <w:drawing>
              <wp:anchor distT="0" distB="0" distL="114300" distR="114300" simplePos="0" relativeHeight="251660288" behindDoc="1" locked="0" layoutInCell="0" allowOverlap="1" wp14:anchorId="558E943C" wp14:editId="44715A89">
                <wp:simplePos x="0" y="0"/>
                <wp:positionH relativeFrom="column">
                  <wp:posOffset>5321300</wp:posOffset>
                </wp:positionH>
                <wp:positionV relativeFrom="paragraph">
                  <wp:posOffset>36830</wp:posOffset>
                </wp:positionV>
                <wp:extent cx="1097280" cy="670623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670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3EE71" w14:textId="77777777" w:rsidR="00AF7755" w:rsidRDefault="00AF7755" w:rsidP="00352B41">
                            <w:pPr>
                              <w:rPr>
                                <w:sz w:val="16"/>
                              </w:rPr>
                            </w:pPr>
                          </w:p>
                          <w:p w14:paraId="7BFF2CAE" w14:textId="77777777" w:rsidR="00AF7755" w:rsidRDefault="00AF7755" w:rsidP="00352B41">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076201EE" w14:textId="77777777" w:rsidR="00AF7755" w:rsidRDefault="00AF7755" w:rsidP="00352B41"/>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E943C" id="Text Box 3" o:spid="_x0000_s1027" type="#_x0000_t202" style="position:absolute;margin-left:419pt;margin-top:2.9pt;width:86.4pt;height:5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" o:allowincell="f" stroked="f">
                <v:path arrowok="t"/>
                <v:textbox style="layout-flow:vertical">
                  <w:txbxContent>
                    <w:p w14:paraId="10A3EE71" w14:textId="77777777" w:rsidR="00AF7755" w:rsidRDefault="00AF7755" w:rsidP="00352B41">
                      <w:pPr>
                        <w:rPr>
                          <w:sz w:val="16"/>
                        </w:rPr>
                      </w:pPr>
                    </w:p>
                    <w:p w14:paraId="7BFF2CAE" w14:textId="77777777" w:rsidR="00AF7755" w:rsidRDefault="00AF7755" w:rsidP="00352B41">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076201EE" w14:textId="77777777" w:rsidR="00AF7755" w:rsidRDefault="00AF7755" w:rsidP="00352B41"/>
                  </w:txbxContent>
                </v:textbox>
              </v:shape>
            </w:pict>
          </mc:Fallback>
        </mc:AlternateContent>
      </w:r>
      <w:bookmarkStart w:id="0" w:name="the-autumn-statement-2022"/>
    </w:p>
    <w:p w14:paraId="50627780"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On 17 November 2022, the government undertook the third fiscal statement in as many months, against a backdrop of rising inflation and economic recession. The Chancellor laid out three core priorities of stability, growth and public services. The government sought a balanced path to support the economy and return to growth, partially through public spending restraint and partially through tax rises.</w:t>
      </w:r>
    </w:p>
    <w:p w14:paraId="6C8F38D9" w14:textId="77777777" w:rsidR="00260343" w:rsidRPr="00260343" w:rsidRDefault="00260343" w:rsidP="00785147">
      <w:pPr>
        <w:pStyle w:val="Heading2"/>
        <w:jc w:val="both"/>
        <w:rPr>
          <w:rFonts w:asciiTheme="minorHAnsi" w:hAnsiTheme="minorHAnsi" w:cstheme="minorHAnsi"/>
          <w:b/>
          <w:bCs/>
          <w:color w:val="auto"/>
          <w:sz w:val="24"/>
          <w:szCs w:val="24"/>
        </w:rPr>
      </w:pPr>
      <w:bookmarkStart w:id="1" w:name="income-tax"/>
      <w:r w:rsidRPr="00260343">
        <w:rPr>
          <w:rFonts w:asciiTheme="minorHAnsi" w:hAnsiTheme="minorHAnsi" w:cstheme="minorHAnsi"/>
          <w:b/>
          <w:bCs/>
          <w:color w:val="auto"/>
          <w:sz w:val="24"/>
          <w:szCs w:val="24"/>
        </w:rPr>
        <w:t>Income tax</w:t>
      </w:r>
    </w:p>
    <w:p w14:paraId="4D84C462" w14:textId="77777777" w:rsidR="00260343" w:rsidRPr="00260343" w:rsidRDefault="00260343" w:rsidP="00785147">
      <w:pPr>
        <w:pStyle w:val="Heading3"/>
        <w:jc w:val="both"/>
        <w:rPr>
          <w:rFonts w:asciiTheme="minorHAnsi" w:hAnsiTheme="minorHAnsi" w:cstheme="minorHAnsi"/>
          <w:b/>
          <w:bCs/>
          <w:i/>
          <w:iCs/>
          <w:sz w:val="24"/>
          <w:szCs w:val="24"/>
        </w:rPr>
      </w:pPr>
      <w:bookmarkStart w:id="2" w:name="income-tax-rates"/>
      <w:r w:rsidRPr="00260343">
        <w:rPr>
          <w:rFonts w:asciiTheme="minorHAnsi" w:hAnsiTheme="minorHAnsi" w:cstheme="minorHAnsi"/>
          <w:b/>
          <w:bCs/>
          <w:i/>
          <w:iCs/>
          <w:sz w:val="24"/>
          <w:szCs w:val="24"/>
        </w:rPr>
        <w:t>Income tax rates</w:t>
      </w:r>
    </w:p>
    <w:p w14:paraId="796EBEA3"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The government had previously announced that there would be a cut in the basic rate of income tax, from 20% to 19%, from April 2024. This was to be accelerated so that it took effect from April 2023. However, whilst the government aims to proceed with the cut in due course, this will only take place when economic conditions allow and a change is affordable. The basic rate of income tax will therefore remain at 20% indefinitely.</w:t>
      </w:r>
    </w:p>
    <w:p w14:paraId="289467A8"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At the Mini Budget on 23 September 2022 the government announced a plan to abolish the 45% additional rate of income tax from April 2023. It was announced on 3 October 2022 that the government would not proceed with this plan.</w:t>
      </w:r>
    </w:p>
    <w:p w14:paraId="605955FF"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From 6 April 2023, the point at which individuals pay the additional rate will be lowered from £150,000 to £125,140.</w:t>
      </w:r>
    </w:p>
    <w:p w14:paraId="5E44F9CB"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The additional rate for non-savings and non-dividend income will apply to taxpayers in England, Wales, and Northern Ireland. The additional rate for savings and dividend income will apply to the whole of the UK.</w:t>
      </w:r>
    </w:p>
    <w:p w14:paraId="172FB8A4" w14:textId="77777777" w:rsidR="00260343" w:rsidRPr="00260343" w:rsidRDefault="00260343" w:rsidP="00785147">
      <w:pPr>
        <w:pStyle w:val="Heading3"/>
        <w:jc w:val="both"/>
        <w:rPr>
          <w:rFonts w:asciiTheme="minorHAnsi" w:hAnsiTheme="minorHAnsi" w:cstheme="minorHAnsi"/>
          <w:b/>
          <w:bCs/>
          <w:sz w:val="24"/>
          <w:szCs w:val="24"/>
        </w:rPr>
      </w:pPr>
      <w:bookmarkStart w:id="3" w:name="income-tax-allowances"/>
      <w:bookmarkEnd w:id="2"/>
      <w:r w:rsidRPr="00260343">
        <w:rPr>
          <w:rFonts w:asciiTheme="minorHAnsi" w:hAnsiTheme="minorHAnsi" w:cstheme="minorHAnsi"/>
          <w:b/>
          <w:bCs/>
          <w:sz w:val="24"/>
          <w:szCs w:val="24"/>
        </w:rPr>
        <w:t>Income tax allowances</w:t>
      </w:r>
    </w:p>
    <w:p w14:paraId="1CCB2187"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The income tax personal allowance and higher rate threshold were already fixed at their current levels until April 2026 and will now be maintained for an additional two years until April 2028. They will be £12,570 and £50,270 respectively.</w:t>
      </w:r>
    </w:p>
    <w:p w14:paraId="37D2097E"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The government will uprate the married couple’s allowance and blind person’s allowance by inflation for 2023/24.</w:t>
      </w:r>
    </w:p>
    <w:p w14:paraId="0FC2EB43" w14:textId="77777777" w:rsidR="00260343" w:rsidRPr="00260343" w:rsidRDefault="00260343" w:rsidP="00785147">
      <w:pPr>
        <w:pStyle w:val="Heading3"/>
        <w:jc w:val="both"/>
        <w:rPr>
          <w:rFonts w:asciiTheme="minorHAnsi" w:hAnsiTheme="minorHAnsi" w:cstheme="minorHAnsi"/>
          <w:b/>
          <w:bCs/>
          <w:sz w:val="24"/>
          <w:szCs w:val="24"/>
        </w:rPr>
      </w:pPr>
      <w:bookmarkStart w:id="4" w:name="dividends"/>
      <w:bookmarkEnd w:id="3"/>
      <w:r w:rsidRPr="00260343">
        <w:rPr>
          <w:rFonts w:asciiTheme="minorHAnsi" w:hAnsiTheme="minorHAnsi" w:cstheme="minorHAnsi"/>
          <w:b/>
          <w:bCs/>
          <w:sz w:val="24"/>
          <w:szCs w:val="24"/>
        </w:rPr>
        <w:t>Dividends</w:t>
      </w:r>
    </w:p>
    <w:p w14:paraId="43C81D91"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The government has also confirmed that, from April 2023, the rates of taxation on dividend income will remain as follows:</w:t>
      </w:r>
    </w:p>
    <w:p w14:paraId="6F230E4D" w14:textId="77777777" w:rsidR="00260343" w:rsidRPr="00260343" w:rsidRDefault="00260343" w:rsidP="00785147">
      <w:pPr>
        <w:pStyle w:val="Compact"/>
        <w:numPr>
          <w:ilvl w:val="0"/>
          <w:numId w:val="5"/>
        </w:numPr>
        <w:jc w:val="both"/>
        <w:rPr>
          <w:rFonts w:asciiTheme="minorHAnsi" w:hAnsiTheme="minorHAnsi" w:cstheme="minorHAnsi"/>
          <w:sz w:val="22"/>
          <w:szCs w:val="22"/>
        </w:rPr>
      </w:pPr>
      <w:r w:rsidRPr="00260343">
        <w:rPr>
          <w:rFonts w:asciiTheme="minorHAnsi" w:hAnsiTheme="minorHAnsi" w:cstheme="minorHAnsi"/>
          <w:sz w:val="22"/>
          <w:szCs w:val="22"/>
        </w:rPr>
        <w:t>the dividend ordinary rate - 8.75%</w:t>
      </w:r>
    </w:p>
    <w:p w14:paraId="2EE89CE1" w14:textId="77777777" w:rsidR="00260343" w:rsidRPr="00260343" w:rsidRDefault="00260343" w:rsidP="00785147">
      <w:pPr>
        <w:pStyle w:val="Compact"/>
        <w:numPr>
          <w:ilvl w:val="0"/>
          <w:numId w:val="5"/>
        </w:numPr>
        <w:jc w:val="both"/>
        <w:rPr>
          <w:rFonts w:asciiTheme="minorHAnsi" w:hAnsiTheme="minorHAnsi" w:cstheme="minorHAnsi"/>
          <w:sz w:val="22"/>
          <w:szCs w:val="22"/>
        </w:rPr>
      </w:pPr>
      <w:r w:rsidRPr="00260343">
        <w:rPr>
          <w:rFonts w:asciiTheme="minorHAnsi" w:hAnsiTheme="minorHAnsi" w:cstheme="minorHAnsi"/>
          <w:sz w:val="22"/>
          <w:szCs w:val="22"/>
        </w:rPr>
        <w:t>the dividend upper rate - 33.75%</w:t>
      </w:r>
    </w:p>
    <w:p w14:paraId="2CD735C9" w14:textId="77777777" w:rsidR="00260343" w:rsidRPr="00260343" w:rsidRDefault="00260343" w:rsidP="00785147">
      <w:pPr>
        <w:pStyle w:val="Compact"/>
        <w:numPr>
          <w:ilvl w:val="0"/>
          <w:numId w:val="5"/>
        </w:numPr>
        <w:jc w:val="both"/>
        <w:rPr>
          <w:rFonts w:asciiTheme="minorHAnsi" w:hAnsiTheme="minorHAnsi" w:cstheme="minorHAnsi"/>
          <w:sz w:val="22"/>
          <w:szCs w:val="22"/>
        </w:rPr>
      </w:pPr>
      <w:r w:rsidRPr="00260343">
        <w:rPr>
          <w:rFonts w:asciiTheme="minorHAnsi" w:hAnsiTheme="minorHAnsi" w:cstheme="minorHAnsi"/>
          <w:sz w:val="22"/>
          <w:szCs w:val="22"/>
        </w:rPr>
        <w:t>the dividend additional rate - 39.35%.</w:t>
      </w:r>
    </w:p>
    <w:p w14:paraId="573735E3"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As corporation tax due on directors’ overdrawn loan accounts is paid at the dividend upper rate, this will also remain at 33.75%.</w:t>
      </w:r>
    </w:p>
    <w:p w14:paraId="7C1B2572"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lastRenderedPageBreak/>
        <w:t>In addition, the government will reduce the Dividend Allowance from £2,000 to £1,000 from April 2023 and to £500 from April 2024.</w:t>
      </w:r>
    </w:p>
    <w:p w14:paraId="38787A67"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These changes will apply to the whole of the UK.</w:t>
      </w:r>
    </w:p>
    <w:p w14:paraId="00FCA228" w14:textId="77777777" w:rsidR="00260343" w:rsidRPr="00260343" w:rsidRDefault="00260343" w:rsidP="00785147">
      <w:pPr>
        <w:pStyle w:val="Heading2"/>
        <w:jc w:val="both"/>
        <w:rPr>
          <w:rFonts w:asciiTheme="minorHAnsi" w:hAnsiTheme="minorHAnsi" w:cstheme="minorHAnsi"/>
          <w:b/>
          <w:bCs/>
          <w:color w:val="auto"/>
          <w:sz w:val="24"/>
          <w:szCs w:val="24"/>
        </w:rPr>
      </w:pPr>
      <w:bookmarkStart w:id="5" w:name="national-insurance-contributions"/>
      <w:bookmarkEnd w:id="1"/>
      <w:bookmarkEnd w:id="4"/>
      <w:r w:rsidRPr="00260343">
        <w:rPr>
          <w:rFonts w:asciiTheme="minorHAnsi" w:hAnsiTheme="minorHAnsi" w:cstheme="minorHAnsi"/>
          <w:b/>
          <w:bCs/>
          <w:color w:val="auto"/>
          <w:sz w:val="24"/>
          <w:szCs w:val="24"/>
        </w:rPr>
        <w:t>National Insurance contributions</w:t>
      </w:r>
    </w:p>
    <w:p w14:paraId="76E578BF"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In September 2021 the government published its proposals for new investment in health and social care in England. The proposals were intended to lead to a permanent increase in spending not only in England but also by the devolved governments. To fund the investment the government introduced a UK-wide 1.25% Health and Social Care Levy based on the National Insurance contributions (NICs) system but ringfenced for health and social care.</w:t>
      </w:r>
    </w:p>
    <w:p w14:paraId="5C563BA3"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The Health and Social Care Levy Act provided for a temporary 1.25% increase to both the main and additional rates of Class 1, Class 1A, Class 1B and Class 4 NICs for 2022/23. From April 2023 onwards, the NIC rates were intended to revert back to 2021/22 levels and be replaced by a new 1.25% Health and Social Care Levy.</w:t>
      </w:r>
    </w:p>
    <w:p w14:paraId="733AB228"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However, the government has:</w:t>
      </w:r>
    </w:p>
    <w:p w14:paraId="2DD18F7C" w14:textId="77777777" w:rsidR="00260343" w:rsidRPr="00260343" w:rsidRDefault="00260343" w:rsidP="00785147">
      <w:pPr>
        <w:pStyle w:val="Compact"/>
        <w:numPr>
          <w:ilvl w:val="0"/>
          <w:numId w:val="5"/>
        </w:numPr>
        <w:jc w:val="both"/>
        <w:rPr>
          <w:rFonts w:asciiTheme="minorHAnsi" w:hAnsiTheme="minorHAnsi" w:cstheme="minorHAnsi"/>
          <w:sz w:val="22"/>
          <w:szCs w:val="22"/>
        </w:rPr>
      </w:pPr>
      <w:r w:rsidRPr="00260343">
        <w:rPr>
          <w:rFonts w:asciiTheme="minorHAnsi" w:hAnsiTheme="minorHAnsi" w:cstheme="minorHAnsi"/>
          <w:sz w:val="22"/>
          <w:szCs w:val="22"/>
        </w:rPr>
        <w:t>reversed the temporary increase in NICs and</w:t>
      </w:r>
    </w:p>
    <w:p w14:paraId="7E9D2F11" w14:textId="73BE3CCC" w:rsidR="00260343" w:rsidRDefault="00785147" w:rsidP="00785147">
      <w:pPr>
        <w:pStyle w:val="Compact"/>
        <w:numPr>
          <w:ilvl w:val="0"/>
          <w:numId w:val="5"/>
        </w:numPr>
        <w:jc w:val="both"/>
        <w:rPr>
          <w:rFonts w:asciiTheme="minorHAnsi" w:hAnsiTheme="minorHAnsi" w:cstheme="minorHAnsi"/>
          <w:sz w:val="22"/>
          <w:szCs w:val="22"/>
        </w:rPr>
      </w:pPr>
      <w:r w:rsidRPr="00395CB6">
        <w:rPr>
          <w:rFonts w:cs="Arial"/>
          <w:noProof/>
          <w:szCs w:val="20"/>
          <w:lang w:eastAsia="en-GB"/>
        </w:rPr>
        <mc:AlternateContent>
          <mc:Choice Requires="wps">
            <w:drawing>
              <wp:anchor distT="0" distB="0" distL="114300" distR="114300" simplePos="0" relativeHeight="251662336" behindDoc="1" locked="0" layoutInCell="0" allowOverlap="1" wp14:anchorId="642F4535" wp14:editId="047F0010">
                <wp:simplePos x="0" y="0"/>
                <wp:positionH relativeFrom="column">
                  <wp:posOffset>5321300</wp:posOffset>
                </wp:positionH>
                <wp:positionV relativeFrom="paragraph">
                  <wp:posOffset>-1142365</wp:posOffset>
                </wp:positionV>
                <wp:extent cx="1097280" cy="67062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670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9ED430" w14:textId="77777777" w:rsidR="00785147" w:rsidRDefault="00785147" w:rsidP="00785147">
                            <w:pPr>
                              <w:rPr>
                                <w:sz w:val="16"/>
                              </w:rPr>
                            </w:pPr>
                          </w:p>
                          <w:p w14:paraId="043F1FD7"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04B52BE3" w14:textId="77777777" w:rsidR="00785147" w:rsidRDefault="00785147" w:rsidP="00785147"/>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F4535" id="_x0000_s1028" type="#_x0000_t202" style="position:absolute;left:0;text-align:left;margin-left:419pt;margin-top:-89.95pt;width:86.4pt;height:528.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" o:allowincell="f" stroked="f">
                <v:path arrowok="t"/>
                <v:textbox style="layout-flow:vertical">
                  <w:txbxContent>
                    <w:p w14:paraId="4C9ED430" w14:textId="77777777" w:rsidR="00785147" w:rsidRDefault="00785147" w:rsidP="00785147">
                      <w:pPr>
                        <w:rPr>
                          <w:sz w:val="16"/>
                        </w:rPr>
                      </w:pPr>
                    </w:p>
                    <w:p w14:paraId="043F1FD7"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04B52BE3" w14:textId="77777777" w:rsidR="00785147" w:rsidRDefault="00785147" w:rsidP="00785147"/>
                  </w:txbxContent>
                </v:textbox>
              </v:shape>
            </w:pict>
          </mc:Fallback>
        </mc:AlternateContent>
      </w:r>
      <w:r w:rsidR="00260343" w:rsidRPr="00260343">
        <w:rPr>
          <w:rFonts w:asciiTheme="minorHAnsi" w:hAnsiTheme="minorHAnsi" w:cstheme="minorHAnsi"/>
          <w:sz w:val="22"/>
          <w:szCs w:val="22"/>
        </w:rPr>
        <w:t>cancelled the Health and Social Care Levy completely.</w:t>
      </w:r>
    </w:p>
    <w:p w14:paraId="3129E04F" w14:textId="77777777" w:rsidR="00260343" w:rsidRPr="00260343" w:rsidRDefault="00260343" w:rsidP="00785147">
      <w:pPr>
        <w:pStyle w:val="Compact"/>
        <w:ind w:left="480"/>
        <w:jc w:val="both"/>
        <w:rPr>
          <w:rFonts w:asciiTheme="minorHAnsi" w:hAnsiTheme="minorHAnsi" w:cstheme="minorHAnsi"/>
          <w:sz w:val="22"/>
          <w:szCs w:val="22"/>
        </w:rPr>
      </w:pPr>
    </w:p>
    <w:p w14:paraId="1A9DA8CF" w14:textId="77777777" w:rsidR="00260343" w:rsidRPr="00260343" w:rsidRDefault="00260343" w:rsidP="00785147">
      <w:pPr>
        <w:jc w:val="both"/>
        <w:rPr>
          <w:rFonts w:asciiTheme="minorHAnsi" w:hAnsiTheme="minorHAnsi" w:cstheme="minorHAnsi"/>
          <w:i/>
          <w:iCs/>
          <w:sz w:val="22"/>
          <w:szCs w:val="22"/>
        </w:rPr>
      </w:pPr>
      <w:r w:rsidRPr="00260343">
        <w:rPr>
          <w:rFonts w:asciiTheme="minorHAnsi" w:hAnsiTheme="minorHAnsi" w:cstheme="minorHAnsi"/>
          <w:i/>
          <w:iCs/>
          <w:sz w:val="22"/>
          <w:szCs w:val="22"/>
        </w:rPr>
        <w:t>According to the government, not proceeding with the Levy will reduce tax for 920,000 businesses by nearly £10,000 on average next year.</w:t>
      </w:r>
    </w:p>
    <w:p w14:paraId="2D61BD28" w14:textId="77777777" w:rsidR="00260343" w:rsidRPr="00260343" w:rsidRDefault="00260343" w:rsidP="00785147">
      <w:pPr>
        <w:jc w:val="both"/>
        <w:rPr>
          <w:rFonts w:asciiTheme="minorHAnsi" w:hAnsiTheme="minorHAnsi" w:cstheme="minorHAnsi"/>
          <w:i/>
          <w:iCs/>
          <w:sz w:val="22"/>
          <w:szCs w:val="22"/>
        </w:rPr>
      </w:pPr>
      <w:r w:rsidRPr="00260343">
        <w:rPr>
          <w:rFonts w:asciiTheme="minorHAnsi" w:hAnsiTheme="minorHAnsi" w:cstheme="minorHAnsi"/>
          <w:i/>
          <w:iCs/>
          <w:sz w:val="22"/>
          <w:szCs w:val="22"/>
        </w:rPr>
        <w:t>For SMEs, the government predicts that the savings will be around £4,200 on average for small businesses and £21,700 for medium sized firms from 2023/24.</w:t>
      </w:r>
    </w:p>
    <w:p w14:paraId="1880A744" w14:textId="19A2649A" w:rsidR="00260343" w:rsidRPr="00260343" w:rsidRDefault="00260343" w:rsidP="00785147">
      <w:pPr>
        <w:pStyle w:val="BodyText"/>
        <w:jc w:val="both"/>
        <w:rPr>
          <w:rFonts w:asciiTheme="minorHAnsi" w:hAnsiTheme="minorHAnsi" w:cstheme="minorHAnsi"/>
          <w:i/>
          <w:iCs/>
          <w:sz w:val="18"/>
          <w:szCs w:val="22"/>
        </w:rPr>
      </w:pPr>
      <w:r w:rsidRPr="00260343">
        <w:rPr>
          <w:rFonts w:asciiTheme="minorHAnsi" w:hAnsiTheme="minorHAnsi" w:cstheme="minorHAnsi"/>
          <w:i/>
          <w:iCs/>
          <w:sz w:val="22"/>
          <w:szCs w:val="22"/>
        </w:rPr>
        <w:t>In addition, it will help almost 28 million people across the UK save £330 on average in 2023/24, with an additional saving of around £135 on average this year.</w:t>
      </w:r>
    </w:p>
    <w:p w14:paraId="7E2CF1FF" w14:textId="77777777" w:rsidR="00260343" w:rsidRPr="00260343" w:rsidRDefault="00260343" w:rsidP="00785147">
      <w:pPr>
        <w:pStyle w:val="Heading3"/>
        <w:jc w:val="both"/>
        <w:rPr>
          <w:rFonts w:asciiTheme="minorHAnsi" w:hAnsiTheme="minorHAnsi" w:cstheme="minorHAnsi"/>
          <w:sz w:val="22"/>
          <w:szCs w:val="22"/>
        </w:rPr>
      </w:pPr>
      <w:bookmarkStart w:id="6" w:name="more-detail-for-employees-and-employers"/>
      <w:r w:rsidRPr="00260343">
        <w:rPr>
          <w:rFonts w:asciiTheme="minorHAnsi" w:hAnsiTheme="minorHAnsi" w:cstheme="minorHAnsi"/>
          <w:sz w:val="22"/>
          <w:szCs w:val="22"/>
        </w:rPr>
        <w:t>More detail for employees and employers</w:t>
      </w:r>
    </w:p>
    <w:p w14:paraId="1D4CCEC8"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The changes took effect for payments of earnings made on or after 6 November 2022, so:</w:t>
      </w:r>
    </w:p>
    <w:p w14:paraId="26A58DF9" w14:textId="77777777" w:rsidR="00260343" w:rsidRPr="00260343" w:rsidRDefault="00260343" w:rsidP="00785147">
      <w:pPr>
        <w:pStyle w:val="Compact"/>
        <w:numPr>
          <w:ilvl w:val="0"/>
          <w:numId w:val="5"/>
        </w:numPr>
        <w:jc w:val="both"/>
        <w:rPr>
          <w:rFonts w:asciiTheme="minorHAnsi" w:hAnsiTheme="minorHAnsi" w:cstheme="minorHAnsi"/>
          <w:sz w:val="22"/>
          <w:szCs w:val="22"/>
        </w:rPr>
      </w:pPr>
      <w:r w:rsidRPr="00260343">
        <w:rPr>
          <w:rFonts w:asciiTheme="minorHAnsi" w:hAnsiTheme="minorHAnsi" w:cstheme="minorHAnsi"/>
          <w:sz w:val="22"/>
          <w:szCs w:val="22"/>
        </w:rPr>
        <w:t>primary Class 1 NICs (employees) generally reduced from 13.25% to 12% and 3.25% to 2% and</w:t>
      </w:r>
    </w:p>
    <w:p w14:paraId="38444F97" w14:textId="77777777" w:rsidR="00260343" w:rsidRPr="00260343" w:rsidRDefault="00260343" w:rsidP="00785147">
      <w:pPr>
        <w:pStyle w:val="Compact"/>
        <w:numPr>
          <w:ilvl w:val="0"/>
          <w:numId w:val="5"/>
        </w:numPr>
        <w:jc w:val="both"/>
        <w:rPr>
          <w:rFonts w:asciiTheme="minorHAnsi" w:hAnsiTheme="minorHAnsi" w:cstheme="minorHAnsi"/>
          <w:sz w:val="22"/>
          <w:szCs w:val="22"/>
        </w:rPr>
      </w:pPr>
      <w:r w:rsidRPr="00260343">
        <w:rPr>
          <w:rFonts w:asciiTheme="minorHAnsi" w:hAnsiTheme="minorHAnsi" w:cstheme="minorHAnsi"/>
          <w:sz w:val="22"/>
          <w:szCs w:val="22"/>
        </w:rPr>
        <w:t>secondary Class 1 NICs (employers) reduced from 15.05% to 13.8%.</w:t>
      </w:r>
    </w:p>
    <w:p w14:paraId="2FAE2E4C"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The effect on Class 1A (payable by employers on taxable benefits in kind) and Class 1B (payable by employers on PAYE Settlement Agreements) NICs will effectively be averaged over the 2022/23 tax year, so that the rate will generally be 14.53%.</w:t>
      </w:r>
    </w:p>
    <w:p w14:paraId="4832D64D" w14:textId="5B8454DC" w:rsidR="00260343" w:rsidRPr="00260343" w:rsidRDefault="00260343" w:rsidP="00785147">
      <w:pPr>
        <w:pStyle w:val="BodyText"/>
        <w:jc w:val="both"/>
        <w:rPr>
          <w:rFonts w:asciiTheme="minorHAnsi" w:hAnsiTheme="minorHAnsi" w:cstheme="minorHAnsi"/>
          <w:i/>
          <w:iCs/>
          <w:sz w:val="22"/>
          <w:szCs w:val="22"/>
        </w:rPr>
      </w:pPr>
      <w:r w:rsidRPr="00260343">
        <w:rPr>
          <w:rFonts w:asciiTheme="minorHAnsi" w:hAnsiTheme="minorHAnsi" w:cstheme="minorHAnsi"/>
          <w:i/>
          <w:iCs/>
          <w:sz w:val="22"/>
          <w:szCs w:val="22"/>
        </w:rPr>
        <w:t>The government hopes that most employees will receive the NICs reduction directly via the payroll in their November pay but acknowledges that some will have to wait until December or January, depending on the complexity of their employer’s payroll software.</w:t>
      </w:r>
    </w:p>
    <w:p w14:paraId="4718FFBC" w14:textId="77777777" w:rsidR="00260343" w:rsidRPr="00260343" w:rsidRDefault="00260343" w:rsidP="00785147">
      <w:pPr>
        <w:pStyle w:val="Heading3"/>
        <w:jc w:val="both"/>
        <w:rPr>
          <w:rFonts w:asciiTheme="minorHAnsi" w:hAnsiTheme="minorHAnsi" w:cstheme="minorHAnsi"/>
          <w:b/>
          <w:bCs/>
          <w:sz w:val="24"/>
          <w:szCs w:val="24"/>
        </w:rPr>
      </w:pPr>
      <w:bookmarkStart w:id="7" w:name="more-detail-for-the-self-employed"/>
      <w:bookmarkEnd w:id="6"/>
      <w:r w:rsidRPr="00260343">
        <w:rPr>
          <w:rFonts w:asciiTheme="minorHAnsi" w:hAnsiTheme="minorHAnsi" w:cstheme="minorHAnsi"/>
          <w:b/>
          <w:bCs/>
          <w:sz w:val="24"/>
          <w:szCs w:val="24"/>
        </w:rPr>
        <w:t>More detail for the self-employed</w:t>
      </w:r>
    </w:p>
    <w:p w14:paraId="2517AC6F"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Following the principle detailed above, the changes to Class 4 NICs will again be averaged across 2022/23, so that the rates will be 9.73% and 2.73%.</w:t>
      </w:r>
    </w:p>
    <w:p w14:paraId="183EEFB3" w14:textId="77777777" w:rsidR="00260343" w:rsidRPr="00260343" w:rsidRDefault="00260343" w:rsidP="00785147">
      <w:pPr>
        <w:pStyle w:val="Heading3"/>
        <w:jc w:val="both"/>
        <w:rPr>
          <w:rFonts w:asciiTheme="minorHAnsi" w:hAnsiTheme="minorHAnsi" w:cstheme="minorHAnsi"/>
          <w:b/>
          <w:bCs/>
          <w:sz w:val="24"/>
          <w:szCs w:val="24"/>
        </w:rPr>
      </w:pPr>
      <w:bookmarkStart w:id="8" w:name="nics-thresholds"/>
      <w:bookmarkEnd w:id="7"/>
      <w:r w:rsidRPr="00260343">
        <w:rPr>
          <w:rFonts w:asciiTheme="minorHAnsi" w:hAnsiTheme="minorHAnsi" w:cstheme="minorHAnsi"/>
          <w:b/>
          <w:bCs/>
          <w:sz w:val="24"/>
          <w:szCs w:val="24"/>
        </w:rPr>
        <w:t>NICs thresholds</w:t>
      </w:r>
    </w:p>
    <w:p w14:paraId="417E638B"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A similar principle to that outlined above for income tax thresholds will be followed in respect of the NICs upper earnings limit and upper profits limit. From July 2022, the NICs primary threshold and lower profits limit were increased to align with the personal allowance and will be maintained at this level from April 2023 until April 2028. The Class 2 lower profits threshold will also be fixed from April 2023 until April 2028 to align with the lower profits limit. They will again be £12,570 and £50,270 as appropriate.</w:t>
      </w:r>
    </w:p>
    <w:p w14:paraId="28BDAA35"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lastRenderedPageBreak/>
        <w:t>In addition, the government will fix the lower earnings limit and the small profits threshold at 2022/23 levels in 2023/24, namely £6,396 and £6,725 per annum respectively.</w:t>
      </w:r>
    </w:p>
    <w:p w14:paraId="0F377D83"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The government will uprate the Class 2 and Class 3 NICs rates for 2023/24 to £3.45 per week and £17.45 respectively.</w:t>
      </w:r>
    </w:p>
    <w:p w14:paraId="5ED6BE4A"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Finally, the government will fix the level at which employers start to pay Class 1 NICs for their employees at £9,100 from April 2023 until April 2028.</w:t>
      </w:r>
    </w:p>
    <w:p w14:paraId="6F4F0375" w14:textId="66D1BB15" w:rsidR="00260343" w:rsidRPr="00260343" w:rsidRDefault="00260343" w:rsidP="00785147">
      <w:pPr>
        <w:pStyle w:val="BodyText"/>
        <w:jc w:val="both"/>
        <w:rPr>
          <w:rFonts w:asciiTheme="minorHAnsi" w:hAnsiTheme="minorHAnsi" w:cstheme="minorHAnsi"/>
          <w:i/>
          <w:iCs/>
          <w:sz w:val="22"/>
          <w:szCs w:val="22"/>
        </w:rPr>
      </w:pPr>
      <w:r w:rsidRPr="00260343">
        <w:rPr>
          <w:rFonts w:asciiTheme="minorHAnsi" w:hAnsiTheme="minorHAnsi" w:cstheme="minorHAnsi"/>
          <w:i/>
          <w:iCs/>
          <w:sz w:val="22"/>
          <w:szCs w:val="22"/>
        </w:rPr>
        <w:t>The government states: ‘It is fair that businesses play their part in reducing the UK’s debt. The Employment Allowance means that 40% of businesses do not pay NICs and will be unaffected by this change, and the largest employers contribute the most.’</w:t>
      </w:r>
    </w:p>
    <w:p w14:paraId="2552681D" w14:textId="77777777" w:rsidR="00260343" w:rsidRPr="00260343" w:rsidRDefault="00260343" w:rsidP="00785147">
      <w:pPr>
        <w:pStyle w:val="Heading2"/>
        <w:jc w:val="both"/>
        <w:rPr>
          <w:rFonts w:asciiTheme="minorHAnsi" w:hAnsiTheme="minorHAnsi" w:cstheme="minorHAnsi"/>
          <w:b/>
          <w:bCs/>
          <w:color w:val="auto"/>
          <w:sz w:val="24"/>
          <w:szCs w:val="24"/>
        </w:rPr>
      </w:pPr>
      <w:bookmarkStart w:id="9" w:name="capital-gains"/>
      <w:bookmarkEnd w:id="5"/>
      <w:bookmarkEnd w:id="8"/>
      <w:r w:rsidRPr="00260343">
        <w:rPr>
          <w:rFonts w:asciiTheme="minorHAnsi" w:hAnsiTheme="minorHAnsi" w:cstheme="minorHAnsi"/>
          <w:b/>
          <w:bCs/>
          <w:color w:val="auto"/>
          <w:sz w:val="24"/>
          <w:szCs w:val="24"/>
        </w:rPr>
        <w:t>Capital gains</w:t>
      </w:r>
    </w:p>
    <w:p w14:paraId="6570DE59"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The government has announced that the capital gains tax annual exempt amount will be reduced from £12,300 to £6,000 from April 2023 and to £3,000 from April 2024.</w:t>
      </w:r>
    </w:p>
    <w:p w14:paraId="360EF6EA" w14:textId="432966F6" w:rsidR="00260343" w:rsidRPr="00260343" w:rsidRDefault="00785147" w:rsidP="00785147">
      <w:pPr>
        <w:pStyle w:val="BodyText"/>
        <w:jc w:val="both"/>
        <w:rPr>
          <w:rFonts w:asciiTheme="minorHAnsi" w:hAnsiTheme="minorHAnsi" w:cstheme="minorHAnsi"/>
          <w:i/>
          <w:iCs/>
          <w:sz w:val="22"/>
          <w:szCs w:val="22"/>
        </w:rPr>
      </w:pPr>
      <w:r w:rsidRPr="00395CB6">
        <w:rPr>
          <w:rFonts w:cs="Arial"/>
          <w:noProof/>
          <w:szCs w:val="20"/>
          <w:lang w:eastAsia="en-GB"/>
        </w:rPr>
        <mc:AlternateContent>
          <mc:Choice Requires="wps">
            <w:drawing>
              <wp:anchor distT="0" distB="0" distL="114300" distR="114300" simplePos="0" relativeHeight="251664384" behindDoc="1" locked="0" layoutInCell="0" allowOverlap="1" wp14:anchorId="265FCE59" wp14:editId="447C0426">
                <wp:simplePos x="0" y="0"/>
                <wp:positionH relativeFrom="column">
                  <wp:posOffset>5321300</wp:posOffset>
                </wp:positionH>
                <wp:positionV relativeFrom="paragraph">
                  <wp:posOffset>-607695</wp:posOffset>
                </wp:positionV>
                <wp:extent cx="1097280" cy="670623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670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5B5502" w14:textId="77777777" w:rsidR="00785147" w:rsidRDefault="00785147" w:rsidP="00785147">
                            <w:pPr>
                              <w:rPr>
                                <w:sz w:val="16"/>
                              </w:rPr>
                            </w:pPr>
                          </w:p>
                          <w:p w14:paraId="67D8FAD3"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0A1B6D56" w14:textId="77777777" w:rsidR="00785147" w:rsidRDefault="00785147" w:rsidP="00785147"/>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CE59" id="_x0000_s1029" type="#_x0000_t202" style="position:absolute;left:0;text-align:left;margin-left:419pt;margin-top:-47.85pt;width:86.4pt;height:5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" o:allowincell="f" stroked="f">
                <v:path arrowok="t"/>
                <v:textbox style="layout-flow:vertical">
                  <w:txbxContent>
                    <w:p w14:paraId="415B5502" w14:textId="77777777" w:rsidR="00785147" w:rsidRDefault="00785147" w:rsidP="00785147">
                      <w:pPr>
                        <w:rPr>
                          <w:sz w:val="16"/>
                        </w:rPr>
                      </w:pPr>
                    </w:p>
                    <w:p w14:paraId="67D8FAD3"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0A1B6D56" w14:textId="77777777" w:rsidR="00785147" w:rsidRDefault="00785147" w:rsidP="00785147"/>
                  </w:txbxContent>
                </v:textbox>
              </v:shape>
            </w:pict>
          </mc:Fallback>
        </mc:AlternateContent>
      </w:r>
      <w:r w:rsidR="00260343" w:rsidRPr="00260343">
        <w:rPr>
          <w:rFonts w:asciiTheme="minorHAnsi" w:hAnsiTheme="minorHAnsi" w:cstheme="minorHAnsi"/>
          <w:i/>
          <w:iCs/>
          <w:sz w:val="22"/>
          <w:szCs w:val="22"/>
        </w:rPr>
        <w:t>Combined with the changes to the Dividend Allowance, these measures will raise over £1.2 billion a year from April 2025.</w:t>
      </w:r>
    </w:p>
    <w:p w14:paraId="7F6595A2" w14:textId="77777777" w:rsidR="00260343" w:rsidRPr="00260343" w:rsidRDefault="00260343" w:rsidP="00785147">
      <w:pPr>
        <w:pStyle w:val="Heading2"/>
        <w:jc w:val="both"/>
        <w:rPr>
          <w:rFonts w:asciiTheme="minorHAnsi" w:hAnsiTheme="minorHAnsi" w:cstheme="minorHAnsi"/>
          <w:b/>
          <w:bCs/>
          <w:color w:val="auto"/>
          <w:sz w:val="24"/>
          <w:szCs w:val="24"/>
        </w:rPr>
      </w:pPr>
      <w:bookmarkStart w:id="10" w:name="inheritance-tax"/>
      <w:bookmarkEnd w:id="9"/>
      <w:r w:rsidRPr="00260343">
        <w:rPr>
          <w:rFonts w:asciiTheme="minorHAnsi" w:hAnsiTheme="minorHAnsi" w:cstheme="minorHAnsi"/>
          <w:b/>
          <w:bCs/>
          <w:color w:val="auto"/>
          <w:sz w:val="24"/>
          <w:szCs w:val="24"/>
        </w:rPr>
        <w:t>Inheritance tax</w:t>
      </w:r>
    </w:p>
    <w:p w14:paraId="772A5671" w14:textId="77777777" w:rsidR="00260343" w:rsidRPr="00260343" w:rsidRDefault="00260343" w:rsidP="00785147">
      <w:pPr>
        <w:pStyle w:val="FirstParagraph"/>
        <w:jc w:val="both"/>
        <w:rPr>
          <w:sz w:val="24"/>
        </w:rPr>
      </w:pPr>
      <w:r w:rsidRPr="00260343">
        <w:rPr>
          <w:rFonts w:asciiTheme="minorHAnsi" w:hAnsiTheme="minorHAnsi" w:cstheme="minorHAnsi"/>
          <w:sz w:val="22"/>
          <w:szCs w:val="22"/>
        </w:rPr>
        <w:t>The inheritance tax nil-rate bands are already set at current levels until April 2026 and will stay fixed at these levels for a further two years until April 2028. The nil-rate band will continue at £325,000, the residence nil-rate band will continue at £175,000 and the residence nil-rate band taper will continue to start at £2 million</w:t>
      </w:r>
      <w:r w:rsidRPr="00260343">
        <w:rPr>
          <w:sz w:val="24"/>
        </w:rPr>
        <w:t>.</w:t>
      </w:r>
    </w:p>
    <w:p w14:paraId="2E433127" w14:textId="77777777" w:rsidR="00260343" w:rsidRPr="00260343" w:rsidRDefault="00260343" w:rsidP="00785147">
      <w:pPr>
        <w:pStyle w:val="Heading2"/>
        <w:jc w:val="both"/>
        <w:rPr>
          <w:rFonts w:asciiTheme="minorHAnsi" w:hAnsiTheme="minorHAnsi" w:cstheme="minorHAnsi"/>
          <w:b/>
          <w:bCs/>
          <w:color w:val="auto"/>
          <w:sz w:val="24"/>
          <w:szCs w:val="24"/>
        </w:rPr>
      </w:pPr>
      <w:bookmarkStart w:id="11" w:name="stamp-duty-land-tax"/>
      <w:bookmarkEnd w:id="10"/>
      <w:r w:rsidRPr="00260343">
        <w:rPr>
          <w:rFonts w:asciiTheme="minorHAnsi" w:hAnsiTheme="minorHAnsi" w:cstheme="minorHAnsi"/>
          <w:b/>
          <w:bCs/>
          <w:color w:val="auto"/>
          <w:sz w:val="24"/>
          <w:szCs w:val="24"/>
        </w:rPr>
        <w:t>Stamp Duty Land Tax</w:t>
      </w:r>
    </w:p>
    <w:p w14:paraId="62C161A2"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A number of changes were made to the Stamp Duty Land Tax (SDLT) regime earlier this year and these remain. Generally, the changes increase the amount that a purchaser can pay for residential property before they become liable for SDLT.</w:t>
      </w:r>
    </w:p>
    <w:p w14:paraId="2FCB7418"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The residential nil rate tax threshold increased from £125,000 to £250,000.</w:t>
      </w:r>
    </w:p>
    <w:p w14:paraId="2B319A4E"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The nil rate threshold for First Time Buyers’ Relief increased from £300,000 to £425,000 and the maximum amount that an individual can pay while remaining eligible for First Time Buyers’ Relief increased to £625,000.</w:t>
      </w:r>
    </w:p>
    <w:p w14:paraId="28F97728"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The changes apply to transactions with effective dates on and after 23 September 2022 in England and Northern Ireland. These changes do not apply to Scotland or Wales which operate their own land transactions taxes.</w:t>
      </w:r>
    </w:p>
    <w:p w14:paraId="055D04B0" w14:textId="77777777" w:rsidR="00260343" w:rsidRPr="00260343" w:rsidRDefault="00260343" w:rsidP="00785147">
      <w:pPr>
        <w:pStyle w:val="BodyText"/>
        <w:jc w:val="both"/>
        <w:rPr>
          <w:sz w:val="24"/>
        </w:rPr>
      </w:pPr>
      <w:r w:rsidRPr="00260343">
        <w:rPr>
          <w:rFonts w:asciiTheme="minorHAnsi" w:hAnsiTheme="minorHAnsi" w:cstheme="minorHAnsi"/>
          <w:sz w:val="22"/>
          <w:szCs w:val="22"/>
        </w:rPr>
        <w:t>There are no changes in relation to purchases of non-residential property</w:t>
      </w:r>
      <w:r w:rsidRPr="00260343">
        <w:rPr>
          <w:sz w:val="24"/>
        </w:rPr>
        <w:t>.</w:t>
      </w:r>
    </w:p>
    <w:p w14:paraId="5C898E88" w14:textId="77777777" w:rsidR="00260343" w:rsidRPr="00260343" w:rsidRDefault="00260343" w:rsidP="00785147">
      <w:pPr>
        <w:pStyle w:val="BodyText"/>
        <w:jc w:val="both"/>
        <w:rPr>
          <w:sz w:val="24"/>
        </w:rPr>
      </w:pPr>
    </w:p>
    <w:tbl>
      <w:tblPr>
        <w:tblStyle w:val="Table"/>
        <w:tblW w:w="5000" w:type="pct"/>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100" w:type="dxa"/>
          <w:right w:w="100" w:type="dxa"/>
        </w:tblCellMar>
        <w:tblLook w:val="0000" w:firstRow="0" w:lastRow="0" w:firstColumn="0" w:lastColumn="0" w:noHBand="0" w:noVBand="0"/>
      </w:tblPr>
      <w:tblGrid>
        <w:gridCol w:w="3268"/>
        <w:gridCol w:w="1022"/>
        <w:gridCol w:w="2992"/>
        <w:gridCol w:w="1022"/>
      </w:tblGrid>
      <w:tr w:rsidR="00260343" w:rsidRPr="00260343" w14:paraId="4F4E248B" w14:textId="77777777" w:rsidTr="00236D3F">
        <w:tc>
          <w:tcPr>
            <w:tcW w:w="0" w:type="auto"/>
          </w:tcPr>
          <w:p w14:paraId="242DD2E5" w14:textId="77777777" w:rsidR="00260343" w:rsidRPr="00260343" w:rsidRDefault="00260343" w:rsidP="00785147">
            <w:pPr>
              <w:jc w:val="both"/>
              <w:rPr>
                <w:rFonts w:cstheme="minorHAnsi"/>
                <w:sz w:val="22"/>
                <w:szCs w:val="22"/>
              </w:rPr>
            </w:pPr>
            <w:r w:rsidRPr="00260343">
              <w:rPr>
                <w:rFonts w:cstheme="minorHAnsi"/>
                <w:b/>
                <w:sz w:val="22"/>
                <w:szCs w:val="22"/>
              </w:rPr>
              <w:t>Residential</w:t>
            </w:r>
          </w:p>
          <w:p w14:paraId="0D006CB8" w14:textId="77777777" w:rsidR="00260343" w:rsidRPr="00260343" w:rsidRDefault="00260343" w:rsidP="00785147">
            <w:pPr>
              <w:jc w:val="both"/>
              <w:rPr>
                <w:rFonts w:cstheme="minorHAnsi"/>
                <w:sz w:val="22"/>
                <w:szCs w:val="22"/>
              </w:rPr>
            </w:pPr>
            <w:r w:rsidRPr="00260343">
              <w:rPr>
                <w:rFonts w:cstheme="minorHAnsi"/>
                <w:b/>
                <w:sz w:val="22"/>
                <w:szCs w:val="22"/>
              </w:rPr>
              <w:t>Band £</w:t>
            </w:r>
          </w:p>
        </w:tc>
        <w:tc>
          <w:tcPr>
            <w:tcW w:w="0" w:type="auto"/>
          </w:tcPr>
          <w:p w14:paraId="645773EE" w14:textId="77777777" w:rsidR="00260343" w:rsidRPr="00260343" w:rsidRDefault="00260343" w:rsidP="00785147">
            <w:pPr>
              <w:jc w:val="both"/>
              <w:rPr>
                <w:rFonts w:cstheme="minorHAnsi"/>
                <w:sz w:val="22"/>
                <w:szCs w:val="22"/>
              </w:rPr>
            </w:pPr>
            <w:r w:rsidRPr="00260343">
              <w:rPr>
                <w:rFonts w:cstheme="minorHAnsi"/>
                <w:b/>
                <w:sz w:val="22"/>
                <w:szCs w:val="22"/>
              </w:rPr>
              <w:t>Rate</w:t>
            </w:r>
          </w:p>
          <w:p w14:paraId="0A076E4C" w14:textId="77777777" w:rsidR="00260343" w:rsidRPr="00260343" w:rsidRDefault="00260343" w:rsidP="00785147">
            <w:pPr>
              <w:jc w:val="both"/>
              <w:rPr>
                <w:rFonts w:cstheme="minorHAnsi"/>
                <w:sz w:val="22"/>
                <w:szCs w:val="22"/>
              </w:rPr>
            </w:pPr>
            <w:r w:rsidRPr="00260343">
              <w:rPr>
                <w:rFonts w:cstheme="minorHAnsi"/>
                <w:b/>
                <w:sz w:val="22"/>
                <w:szCs w:val="22"/>
              </w:rPr>
              <w:t>%</w:t>
            </w:r>
          </w:p>
        </w:tc>
        <w:tc>
          <w:tcPr>
            <w:tcW w:w="0" w:type="auto"/>
          </w:tcPr>
          <w:p w14:paraId="5A1EFE40" w14:textId="77777777" w:rsidR="00260343" w:rsidRPr="00260343" w:rsidRDefault="00260343" w:rsidP="00785147">
            <w:pPr>
              <w:jc w:val="both"/>
              <w:rPr>
                <w:rFonts w:cstheme="minorHAnsi"/>
                <w:sz w:val="22"/>
                <w:szCs w:val="22"/>
              </w:rPr>
            </w:pPr>
            <w:r w:rsidRPr="00260343">
              <w:rPr>
                <w:rFonts w:cstheme="minorHAnsi"/>
                <w:b/>
                <w:sz w:val="22"/>
                <w:szCs w:val="22"/>
              </w:rPr>
              <w:t>Non-residential</w:t>
            </w:r>
          </w:p>
          <w:p w14:paraId="720CB045" w14:textId="77777777" w:rsidR="00260343" w:rsidRPr="00260343" w:rsidRDefault="00260343" w:rsidP="00785147">
            <w:pPr>
              <w:jc w:val="both"/>
              <w:rPr>
                <w:rFonts w:cstheme="minorHAnsi"/>
                <w:sz w:val="22"/>
                <w:szCs w:val="22"/>
              </w:rPr>
            </w:pPr>
            <w:r w:rsidRPr="00260343">
              <w:rPr>
                <w:rFonts w:cstheme="minorHAnsi"/>
                <w:b/>
                <w:sz w:val="22"/>
                <w:szCs w:val="22"/>
              </w:rPr>
              <w:t>Band £</w:t>
            </w:r>
          </w:p>
        </w:tc>
        <w:tc>
          <w:tcPr>
            <w:tcW w:w="0" w:type="auto"/>
          </w:tcPr>
          <w:p w14:paraId="6BD32ACB" w14:textId="77777777" w:rsidR="00260343" w:rsidRPr="00260343" w:rsidRDefault="00260343" w:rsidP="00785147">
            <w:pPr>
              <w:jc w:val="both"/>
              <w:rPr>
                <w:rFonts w:cstheme="minorHAnsi"/>
                <w:sz w:val="22"/>
                <w:szCs w:val="22"/>
              </w:rPr>
            </w:pPr>
            <w:r w:rsidRPr="00260343">
              <w:rPr>
                <w:rFonts w:cstheme="minorHAnsi"/>
                <w:b/>
                <w:sz w:val="22"/>
                <w:szCs w:val="22"/>
              </w:rPr>
              <w:t>Rate</w:t>
            </w:r>
          </w:p>
          <w:p w14:paraId="1F1DA4F6" w14:textId="77777777" w:rsidR="00260343" w:rsidRPr="00260343" w:rsidRDefault="00260343" w:rsidP="00785147">
            <w:pPr>
              <w:jc w:val="both"/>
              <w:rPr>
                <w:rFonts w:cstheme="minorHAnsi"/>
                <w:sz w:val="22"/>
                <w:szCs w:val="22"/>
              </w:rPr>
            </w:pPr>
            <w:r w:rsidRPr="00260343">
              <w:rPr>
                <w:rFonts w:cstheme="minorHAnsi"/>
                <w:b/>
                <w:sz w:val="22"/>
                <w:szCs w:val="22"/>
              </w:rPr>
              <w:t>%</w:t>
            </w:r>
          </w:p>
        </w:tc>
      </w:tr>
      <w:tr w:rsidR="00260343" w:rsidRPr="00260343" w14:paraId="6CF9A558" w14:textId="77777777" w:rsidTr="00236D3F">
        <w:tc>
          <w:tcPr>
            <w:tcW w:w="0" w:type="auto"/>
          </w:tcPr>
          <w:p w14:paraId="03DCC4A9" w14:textId="77777777" w:rsidR="00260343" w:rsidRPr="00260343" w:rsidRDefault="00260343" w:rsidP="00785147">
            <w:pPr>
              <w:jc w:val="both"/>
              <w:rPr>
                <w:rFonts w:cstheme="minorHAnsi"/>
                <w:sz w:val="22"/>
                <w:szCs w:val="22"/>
              </w:rPr>
            </w:pPr>
            <w:r w:rsidRPr="00260343">
              <w:rPr>
                <w:rFonts w:cstheme="minorHAnsi"/>
                <w:sz w:val="22"/>
                <w:szCs w:val="22"/>
              </w:rPr>
              <w:t>0 - 250,000</w:t>
            </w:r>
          </w:p>
        </w:tc>
        <w:tc>
          <w:tcPr>
            <w:tcW w:w="0" w:type="auto"/>
          </w:tcPr>
          <w:p w14:paraId="47714AE8" w14:textId="77777777" w:rsidR="00260343" w:rsidRPr="00260343" w:rsidRDefault="00260343" w:rsidP="00785147">
            <w:pPr>
              <w:jc w:val="both"/>
              <w:rPr>
                <w:rFonts w:cstheme="minorHAnsi"/>
                <w:sz w:val="22"/>
                <w:szCs w:val="22"/>
              </w:rPr>
            </w:pPr>
            <w:r w:rsidRPr="00260343">
              <w:rPr>
                <w:rFonts w:cstheme="minorHAnsi"/>
                <w:sz w:val="22"/>
                <w:szCs w:val="22"/>
              </w:rPr>
              <w:t>0</w:t>
            </w:r>
          </w:p>
        </w:tc>
        <w:tc>
          <w:tcPr>
            <w:tcW w:w="0" w:type="auto"/>
          </w:tcPr>
          <w:p w14:paraId="60537302" w14:textId="77777777" w:rsidR="00260343" w:rsidRPr="00260343" w:rsidRDefault="00260343" w:rsidP="00785147">
            <w:pPr>
              <w:jc w:val="both"/>
              <w:rPr>
                <w:rFonts w:cstheme="minorHAnsi"/>
                <w:sz w:val="22"/>
                <w:szCs w:val="22"/>
              </w:rPr>
            </w:pPr>
            <w:r w:rsidRPr="00260343">
              <w:rPr>
                <w:rFonts w:cstheme="minorHAnsi"/>
                <w:sz w:val="22"/>
                <w:szCs w:val="22"/>
              </w:rPr>
              <w:t>0 - 150,000</w:t>
            </w:r>
          </w:p>
        </w:tc>
        <w:tc>
          <w:tcPr>
            <w:tcW w:w="0" w:type="auto"/>
          </w:tcPr>
          <w:p w14:paraId="7C6FED90" w14:textId="77777777" w:rsidR="00260343" w:rsidRPr="00260343" w:rsidRDefault="00260343" w:rsidP="00785147">
            <w:pPr>
              <w:jc w:val="both"/>
              <w:rPr>
                <w:rFonts w:cstheme="minorHAnsi"/>
                <w:sz w:val="22"/>
                <w:szCs w:val="22"/>
              </w:rPr>
            </w:pPr>
            <w:r w:rsidRPr="00260343">
              <w:rPr>
                <w:rFonts w:cstheme="minorHAnsi"/>
                <w:sz w:val="22"/>
                <w:szCs w:val="22"/>
              </w:rPr>
              <w:t>0</w:t>
            </w:r>
          </w:p>
        </w:tc>
      </w:tr>
      <w:tr w:rsidR="00260343" w:rsidRPr="00260343" w14:paraId="4CAA0A59" w14:textId="77777777" w:rsidTr="00236D3F">
        <w:tc>
          <w:tcPr>
            <w:tcW w:w="0" w:type="auto"/>
          </w:tcPr>
          <w:p w14:paraId="404920DF" w14:textId="77777777" w:rsidR="00260343" w:rsidRPr="00260343" w:rsidRDefault="00260343" w:rsidP="00785147">
            <w:pPr>
              <w:jc w:val="both"/>
              <w:rPr>
                <w:rFonts w:cstheme="minorHAnsi"/>
                <w:sz w:val="22"/>
                <w:szCs w:val="22"/>
              </w:rPr>
            </w:pPr>
            <w:r w:rsidRPr="00260343">
              <w:rPr>
                <w:rFonts w:cstheme="minorHAnsi"/>
                <w:sz w:val="22"/>
                <w:szCs w:val="22"/>
              </w:rPr>
              <w:t>250,001 - 925,000</w:t>
            </w:r>
          </w:p>
        </w:tc>
        <w:tc>
          <w:tcPr>
            <w:tcW w:w="0" w:type="auto"/>
          </w:tcPr>
          <w:p w14:paraId="507EE73F" w14:textId="77777777" w:rsidR="00260343" w:rsidRPr="00260343" w:rsidRDefault="00260343" w:rsidP="00785147">
            <w:pPr>
              <w:jc w:val="both"/>
              <w:rPr>
                <w:rFonts w:cstheme="minorHAnsi"/>
                <w:sz w:val="22"/>
                <w:szCs w:val="22"/>
              </w:rPr>
            </w:pPr>
            <w:r w:rsidRPr="00260343">
              <w:rPr>
                <w:rFonts w:cstheme="minorHAnsi"/>
                <w:sz w:val="22"/>
                <w:szCs w:val="22"/>
              </w:rPr>
              <w:t>5</w:t>
            </w:r>
          </w:p>
        </w:tc>
        <w:tc>
          <w:tcPr>
            <w:tcW w:w="0" w:type="auto"/>
          </w:tcPr>
          <w:p w14:paraId="2F7A4CBB" w14:textId="77777777" w:rsidR="00260343" w:rsidRPr="00260343" w:rsidRDefault="00260343" w:rsidP="00785147">
            <w:pPr>
              <w:jc w:val="both"/>
              <w:rPr>
                <w:rFonts w:cstheme="minorHAnsi"/>
                <w:sz w:val="22"/>
                <w:szCs w:val="22"/>
              </w:rPr>
            </w:pPr>
            <w:r w:rsidRPr="00260343">
              <w:rPr>
                <w:rFonts w:cstheme="minorHAnsi"/>
                <w:sz w:val="22"/>
                <w:szCs w:val="22"/>
              </w:rPr>
              <w:t>150,001 - 250,000</w:t>
            </w:r>
          </w:p>
        </w:tc>
        <w:tc>
          <w:tcPr>
            <w:tcW w:w="0" w:type="auto"/>
          </w:tcPr>
          <w:p w14:paraId="01DE6A8B" w14:textId="77777777" w:rsidR="00260343" w:rsidRPr="00260343" w:rsidRDefault="00260343" w:rsidP="00785147">
            <w:pPr>
              <w:jc w:val="both"/>
              <w:rPr>
                <w:rFonts w:cstheme="minorHAnsi"/>
                <w:sz w:val="22"/>
                <w:szCs w:val="22"/>
              </w:rPr>
            </w:pPr>
            <w:r w:rsidRPr="00260343">
              <w:rPr>
                <w:rFonts w:cstheme="minorHAnsi"/>
                <w:sz w:val="22"/>
                <w:szCs w:val="22"/>
              </w:rPr>
              <w:t>2</w:t>
            </w:r>
          </w:p>
        </w:tc>
      </w:tr>
      <w:tr w:rsidR="00260343" w:rsidRPr="00260343" w14:paraId="14DB894F" w14:textId="77777777" w:rsidTr="00236D3F">
        <w:tc>
          <w:tcPr>
            <w:tcW w:w="0" w:type="auto"/>
          </w:tcPr>
          <w:p w14:paraId="325BC67C" w14:textId="77777777" w:rsidR="00260343" w:rsidRPr="00260343" w:rsidRDefault="00260343" w:rsidP="00785147">
            <w:pPr>
              <w:jc w:val="both"/>
              <w:rPr>
                <w:rFonts w:cstheme="minorHAnsi"/>
                <w:sz w:val="22"/>
                <w:szCs w:val="22"/>
              </w:rPr>
            </w:pPr>
            <w:r w:rsidRPr="00260343">
              <w:rPr>
                <w:rFonts w:cstheme="minorHAnsi"/>
                <w:sz w:val="22"/>
                <w:szCs w:val="22"/>
              </w:rPr>
              <w:t>925,001 - 1,500,000</w:t>
            </w:r>
          </w:p>
        </w:tc>
        <w:tc>
          <w:tcPr>
            <w:tcW w:w="0" w:type="auto"/>
          </w:tcPr>
          <w:p w14:paraId="05DA5ED7" w14:textId="77777777" w:rsidR="00260343" w:rsidRPr="00260343" w:rsidRDefault="00260343" w:rsidP="00785147">
            <w:pPr>
              <w:jc w:val="both"/>
              <w:rPr>
                <w:rFonts w:cstheme="minorHAnsi"/>
                <w:sz w:val="22"/>
                <w:szCs w:val="22"/>
              </w:rPr>
            </w:pPr>
            <w:r w:rsidRPr="00260343">
              <w:rPr>
                <w:rFonts w:cstheme="minorHAnsi"/>
                <w:sz w:val="22"/>
                <w:szCs w:val="22"/>
              </w:rPr>
              <w:t>10</w:t>
            </w:r>
          </w:p>
        </w:tc>
        <w:tc>
          <w:tcPr>
            <w:tcW w:w="0" w:type="auto"/>
          </w:tcPr>
          <w:p w14:paraId="2574FEC7" w14:textId="77777777" w:rsidR="00260343" w:rsidRPr="00260343" w:rsidRDefault="00260343" w:rsidP="00785147">
            <w:pPr>
              <w:jc w:val="both"/>
              <w:rPr>
                <w:rFonts w:cstheme="minorHAnsi"/>
                <w:sz w:val="22"/>
                <w:szCs w:val="22"/>
              </w:rPr>
            </w:pPr>
            <w:r w:rsidRPr="00260343">
              <w:rPr>
                <w:rFonts w:cstheme="minorHAnsi"/>
                <w:sz w:val="22"/>
                <w:szCs w:val="22"/>
              </w:rPr>
              <w:t>Over 250,000</w:t>
            </w:r>
          </w:p>
        </w:tc>
        <w:tc>
          <w:tcPr>
            <w:tcW w:w="0" w:type="auto"/>
          </w:tcPr>
          <w:p w14:paraId="145ED344" w14:textId="77777777" w:rsidR="00260343" w:rsidRPr="00260343" w:rsidRDefault="00260343" w:rsidP="00785147">
            <w:pPr>
              <w:jc w:val="both"/>
              <w:rPr>
                <w:rFonts w:cstheme="minorHAnsi"/>
                <w:sz w:val="22"/>
                <w:szCs w:val="22"/>
              </w:rPr>
            </w:pPr>
            <w:r w:rsidRPr="00260343">
              <w:rPr>
                <w:rFonts w:cstheme="minorHAnsi"/>
                <w:sz w:val="22"/>
                <w:szCs w:val="22"/>
              </w:rPr>
              <w:t>5</w:t>
            </w:r>
          </w:p>
        </w:tc>
      </w:tr>
      <w:tr w:rsidR="00260343" w:rsidRPr="00260343" w14:paraId="1C190DEF" w14:textId="77777777" w:rsidTr="00236D3F">
        <w:tc>
          <w:tcPr>
            <w:tcW w:w="0" w:type="auto"/>
          </w:tcPr>
          <w:p w14:paraId="452F589E" w14:textId="77777777" w:rsidR="00260343" w:rsidRPr="00260343" w:rsidRDefault="00260343" w:rsidP="00785147">
            <w:pPr>
              <w:jc w:val="both"/>
              <w:rPr>
                <w:rFonts w:cstheme="minorHAnsi"/>
                <w:sz w:val="22"/>
                <w:szCs w:val="22"/>
              </w:rPr>
            </w:pPr>
            <w:r w:rsidRPr="00260343">
              <w:rPr>
                <w:rFonts w:cstheme="minorHAnsi"/>
                <w:sz w:val="22"/>
                <w:szCs w:val="22"/>
              </w:rPr>
              <w:t>Over 1,500,000</w:t>
            </w:r>
          </w:p>
        </w:tc>
        <w:tc>
          <w:tcPr>
            <w:tcW w:w="0" w:type="auto"/>
          </w:tcPr>
          <w:p w14:paraId="446772B9" w14:textId="77777777" w:rsidR="00260343" w:rsidRPr="00260343" w:rsidRDefault="00260343" w:rsidP="00785147">
            <w:pPr>
              <w:jc w:val="both"/>
              <w:rPr>
                <w:rFonts w:cstheme="minorHAnsi"/>
                <w:sz w:val="22"/>
                <w:szCs w:val="22"/>
              </w:rPr>
            </w:pPr>
            <w:r w:rsidRPr="00260343">
              <w:rPr>
                <w:rFonts w:cstheme="minorHAnsi"/>
                <w:sz w:val="22"/>
                <w:szCs w:val="22"/>
              </w:rPr>
              <w:t>12</w:t>
            </w:r>
          </w:p>
        </w:tc>
        <w:tc>
          <w:tcPr>
            <w:tcW w:w="0" w:type="auto"/>
          </w:tcPr>
          <w:p w14:paraId="4FA90E6E" w14:textId="77777777" w:rsidR="00260343" w:rsidRPr="00260343" w:rsidRDefault="00260343" w:rsidP="00785147">
            <w:pPr>
              <w:jc w:val="both"/>
              <w:rPr>
                <w:rFonts w:cstheme="minorHAnsi"/>
                <w:sz w:val="22"/>
                <w:szCs w:val="22"/>
              </w:rPr>
            </w:pPr>
          </w:p>
        </w:tc>
        <w:tc>
          <w:tcPr>
            <w:tcW w:w="0" w:type="auto"/>
          </w:tcPr>
          <w:p w14:paraId="239B6908" w14:textId="77777777" w:rsidR="00260343" w:rsidRPr="00260343" w:rsidRDefault="00260343" w:rsidP="00785147">
            <w:pPr>
              <w:jc w:val="both"/>
              <w:rPr>
                <w:rFonts w:cstheme="minorHAnsi"/>
                <w:sz w:val="22"/>
                <w:szCs w:val="22"/>
              </w:rPr>
            </w:pPr>
          </w:p>
        </w:tc>
      </w:tr>
    </w:tbl>
    <w:p w14:paraId="08383BE1"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lastRenderedPageBreak/>
        <w:t>Higher rates may be payable where further residential properties are acquired.  </w:t>
      </w:r>
    </w:p>
    <w:p w14:paraId="705DE719" w14:textId="0FD0B988"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However, the government has now confirmed that these changes will be a temporary SDLT reduction. The SDLT cut will remain in place until 31 March 2025 to support the housing market.</w:t>
      </w:r>
    </w:p>
    <w:p w14:paraId="442EF23D" w14:textId="77777777" w:rsidR="00260343" w:rsidRPr="00260343" w:rsidRDefault="00260343" w:rsidP="00785147">
      <w:pPr>
        <w:pStyle w:val="Heading2"/>
        <w:jc w:val="both"/>
        <w:rPr>
          <w:rFonts w:asciiTheme="minorHAnsi" w:hAnsiTheme="minorHAnsi" w:cstheme="minorHAnsi"/>
          <w:b/>
          <w:bCs/>
          <w:color w:val="auto"/>
          <w:sz w:val="24"/>
          <w:szCs w:val="24"/>
        </w:rPr>
      </w:pPr>
      <w:bookmarkStart w:id="12" w:name="land-transaction-tax"/>
      <w:bookmarkEnd w:id="11"/>
      <w:r w:rsidRPr="00260343">
        <w:rPr>
          <w:rFonts w:asciiTheme="minorHAnsi" w:hAnsiTheme="minorHAnsi" w:cstheme="minorHAnsi"/>
          <w:b/>
          <w:bCs/>
          <w:color w:val="auto"/>
          <w:sz w:val="24"/>
          <w:szCs w:val="24"/>
        </w:rPr>
        <w:t>Land Transaction Tax</w:t>
      </w:r>
    </w:p>
    <w:p w14:paraId="580FDC76" w14:textId="5D7CF221" w:rsidR="00260343" w:rsidRPr="00260343" w:rsidRDefault="00785147" w:rsidP="00785147">
      <w:pPr>
        <w:pStyle w:val="FirstParagraph"/>
        <w:jc w:val="both"/>
        <w:rPr>
          <w:rFonts w:asciiTheme="minorHAnsi" w:hAnsiTheme="minorHAnsi" w:cstheme="minorHAnsi"/>
          <w:sz w:val="22"/>
          <w:szCs w:val="22"/>
        </w:rPr>
      </w:pPr>
      <w:r w:rsidRPr="00395CB6">
        <w:rPr>
          <w:rFonts w:cs="Arial"/>
          <w:noProof/>
          <w:szCs w:val="20"/>
          <w:lang w:eastAsia="en-GB"/>
        </w:rPr>
        <mc:AlternateContent>
          <mc:Choice Requires="wps">
            <w:drawing>
              <wp:anchor distT="0" distB="0" distL="114300" distR="114300" simplePos="0" relativeHeight="251666432" behindDoc="1" locked="0" layoutInCell="0" allowOverlap="1" wp14:anchorId="1D61D5F9" wp14:editId="4D5A8035">
                <wp:simplePos x="0" y="0"/>
                <wp:positionH relativeFrom="column">
                  <wp:posOffset>5321300</wp:posOffset>
                </wp:positionH>
                <wp:positionV relativeFrom="paragraph">
                  <wp:posOffset>1043305</wp:posOffset>
                </wp:positionV>
                <wp:extent cx="1097280" cy="67062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670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E106C" w14:textId="77777777" w:rsidR="00785147" w:rsidRDefault="00785147" w:rsidP="00785147">
                            <w:pPr>
                              <w:rPr>
                                <w:sz w:val="16"/>
                              </w:rPr>
                            </w:pPr>
                          </w:p>
                          <w:p w14:paraId="41C8C7C4"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4EA47D73" w14:textId="77777777" w:rsidR="00785147" w:rsidRDefault="00785147" w:rsidP="00785147"/>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1D5F9" id="_x0000_s1030" type="#_x0000_t202" style="position:absolute;left:0;text-align:left;margin-left:419pt;margin-top:82.15pt;width:86.4pt;height:528.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" o:allowincell="f" stroked="f">
                <v:path arrowok="t"/>
                <v:textbox style="layout-flow:vertical">
                  <w:txbxContent>
                    <w:p w14:paraId="24FE106C" w14:textId="77777777" w:rsidR="00785147" w:rsidRDefault="00785147" w:rsidP="00785147">
                      <w:pPr>
                        <w:rPr>
                          <w:sz w:val="16"/>
                        </w:rPr>
                      </w:pPr>
                    </w:p>
                    <w:p w14:paraId="41C8C7C4"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4EA47D73" w14:textId="77777777" w:rsidR="00785147" w:rsidRDefault="00785147" w:rsidP="00785147"/>
                  </w:txbxContent>
                </v:textbox>
              </v:shape>
            </w:pict>
          </mc:Fallback>
        </mc:AlternateContent>
      </w:r>
      <w:r w:rsidR="00260343" w:rsidRPr="00260343">
        <w:rPr>
          <w:rFonts w:asciiTheme="minorHAnsi" w:hAnsiTheme="minorHAnsi" w:cstheme="minorHAnsi"/>
          <w:sz w:val="22"/>
          <w:szCs w:val="22"/>
        </w:rPr>
        <w:t>The Welsh government also altered its rates in relation to land and buildings in Wales for transactions with an effective date on or after 10 October 2022.</w:t>
      </w:r>
    </w:p>
    <w:p w14:paraId="73896D96" w14:textId="77777777" w:rsidR="00260343" w:rsidRPr="00260343" w:rsidRDefault="00260343" w:rsidP="00785147">
      <w:pPr>
        <w:pStyle w:val="BodyText"/>
        <w:jc w:val="both"/>
        <w:rPr>
          <w:sz w:val="24"/>
        </w:rPr>
      </w:pPr>
    </w:p>
    <w:tbl>
      <w:tblPr>
        <w:tblStyle w:val="Table"/>
        <w:tblW w:w="5000" w:type="pct"/>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100" w:type="dxa"/>
          <w:left w:w="100" w:type="dxa"/>
          <w:right w:w="100" w:type="dxa"/>
        </w:tblCellMar>
        <w:tblLook w:val="0000" w:firstRow="0" w:lastRow="0" w:firstColumn="0" w:lastColumn="0" w:noHBand="0" w:noVBand="0"/>
      </w:tblPr>
      <w:tblGrid>
        <w:gridCol w:w="3163"/>
        <w:gridCol w:w="989"/>
        <w:gridCol w:w="3163"/>
        <w:gridCol w:w="989"/>
      </w:tblGrid>
      <w:tr w:rsidR="00260343" w:rsidRPr="00260343" w14:paraId="12E403B6" w14:textId="77777777" w:rsidTr="00236D3F">
        <w:tc>
          <w:tcPr>
            <w:tcW w:w="0" w:type="auto"/>
          </w:tcPr>
          <w:p w14:paraId="7A3E01B5" w14:textId="77777777" w:rsidR="00260343" w:rsidRPr="00260343" w:rsidRDefault="00260343" w:rsidP="00785147">
            <w:pPr>
              <w:jc w:val="both"/>
              <w:rPr>
                <w:rFonts w:cstheme="minorHAnsi"/>
                <w:sz w:val="22"/>
                <w:szCs w:val="22"/>
              </w:rPr>
            </w:pPr>
            <w:r w:rsidRPr="00260343">
              <w:rPr>
                <w:rFonts w:cstheme="minorHAnsi"/>
                <w:b/>
                <w:sz w:val="22"/>
                <w:szCs w:val="22"/>
              </w:rPr>
              <w:t>Residential</w:t>
            </w:r>
          </w:p>
          <w:p w14:paraId="37D48473" w14:textId="77777777" w:rsidR="00260343" w:rsidRPr="00260343" w:rsidRDefault="00260343" w:rsidP="00785147">
            <w:pPr>
              <w:jc w:val="both"/>
              <w:rPr>
                <w:rFonts w:cstheme="minorHAnsi"/>
                <w:sz w:val="22"/>
                <w:szCs w:val="22"/>
              </w:rPr>
            </w:pPr>
            <w:r w:rsidRPr="00260343">
              <w:rPr>
                <w:rFonts w:cstheme="minorHAnsi"/>
                <w:b/>
                <w:sz w:val="22"/>
                <w:szCs w:val="22"/>
              </w:rPr>
              <w:t>Band £</w:t>
            </w:r>
          </w:p>
        </w:tc>
        <w:tc>
          <w:tcPr>
            <w:tcW w:w="0" w:type="auto"/>
          </w:tcPr>
          <w:p w14:paraId="6EEA07D1" w14:textId="77777777" w:rsidR="00260343" w:rsidRPr="00260343" w:rsidRDefault="00260343" w:rsidP="00785147">
            <w:pPr>
              <w:jc w:val="both"/>
              <w:rPr>
                <w:rFonts w:cstheme="minorHAnsi"/>
                <w:sz w:val="22"/>
                <w:szCs w:val="22"/>
              </w:rPr>
            </w:pPr>
            <w:r w:rsidRPr="00260343">
              <w:rPr>
                <w:rFonts w:cstheme="minorHAnsi"/>
                <w:b/>
                <w:sz w:val="22"/>
                <w:szCs w:val="22"/>
              </w:rPr>
              <w:t>Rate</w:t>
            </w:r>
          </w:p>
          <w:p w14:paraId="233AC72D" w14:textId="77777777" w:rsidR="00260343" w:rsidRPr="00260343" w:rsidRDefault="00260343" w:rsidP="00785147">
            <w:pPr>
              <w:jc w:val="both"/>
              <w:rPr>
                <w:rFonts w:cstheme="minorHAnsi"/>
                <w:sz w:val="22"/>
                <w:szCs w:val="22"/>
              </w:rPr>
            </w:pPr>
            <w:r w:rsidRPr="00260343">
              <w:rPr>
                <w:rFonts w:cstheme="minorHAnsi"/>
                <w:b/>
                <w:sz w:val="22"/>
                <w:szCs w:val="22"/>
              </w:rPr>
              <w:t>%</w:t>
            </w:r>
          </w:p>
        </w:tc>
        <w:tc>
          <w:tcPr>
            <w:tcW w:w="0" w:type="auto"/>
          </w:tcPr>
          <w:p w14:paraId="20F7D2B4" w14:textId="77777777" w:rsidR="00260343" w:rsidRPr="00260343" w:rsidRDefault="00260343" w:rsidP="00785147">
            <w:pPr>
              <w:jc w:val="both"/>
              <w:rPr>
                <w:rFonts w:cstheme="minorHAnsi"/>
                <w:sz w:val="22"/>
                <w:szCs w:val="22"/>
              </w:rPr>
            </w:pPr>
            <w:r w:rsidRPr="00260343">
              <w:rPr>
                <w:rFonts w:cstheme="minorHAnsi"/>
                <w:b/>
                <w:sz w:val="22"/>
                <w:szCs w:val="22"/>
              </w:rPr>
              <w:t>Non-residential</w:t>
            </w:r>
          </w:p>
          <w:p w14:paraId="5E5B168F" w14:textId="77777777" w:rsidR="00260343" w:rsidRPr="00260343" w:rsidRDefault="00260343" w:rsidP="00785147">
            <w:pPr>
              <w:jc w:val="both"/>
              <w:rPr>
                <w:rFonts w:cstheme="minorHAnsi"/>
                <w:sz w:val="22"/>
                <w:szCs w:val="22"/>
              </w:rPr>
            </w:pPr>
            <w:r w:rsidRPr="00260343">
              <w:rPr>
                <w:rFonts w:cstheme="minorHAnsi"/>
                <w:b/>
                <w:sz w:val="22"/>
                <w:szCs w:val="22"/>
              </w:rPr>
              <w:t>Band £</w:t>
            </w:r>
          </w:p>
        </w:tc>
        <w:tc>
          <w:tcPr>
            <w:tcW w:w="0" w:type="auto"/>
          </w:tcPr>
          <w:p w14:paraId="677D5D9D" w14:textId="77777777" w:rsidR="00260343" w:rsidRPr="00260343" w:rsidRDefault="00260343" w:rsidP="00785147">
            <w:pPr>
              <w:jc w:val="both"/>
              <w:rPr>
                <w:rFonts w:cstheme="minorHAnsi"/>
                <w:sz w:val="22"/>
                <w:szCs w:val="22"/>
              </w:rPr>
            </w:pPr>
            <w:r w:rsidRPr="00260343">
              <w:rPr>
                <w:rFonts w:cstheme="minorHAnsi"/>
                <w:b/>
                <w:sz w:val="22"/>
                <w:szCs w:val="22"/>
              </w:rPr>
              <w:t>Rate</w:t>
            </w:r>
          </w:p>
          <w:p w14:paraId="4F7D3EEE" w14:textId="77777777" w:rsidR="00260343" w:rsidRPr="00260343" w:rsidRDefault="00260343" w:rsidP="00785147">
            <w:pPr>
              <w:jc w:val="both"/>
              <w:rPr>
                <w:rFonts w:cstheme="minorHAnsi"/>
                <w:sz w:val="22"/>
                <w:szCs w:val="22"/>
              </w:rPr>
            </w:pPr>
            <w:r w:rsidRPr="00260343">
              <w:rPr>
                <w:rFonts w:cstheme="minorHAnsi"/>
                <w:b/>
                <w:sz w:val="22"/>
                <w:szCs w:val="22"/>
              </w:rPr>
              <w:t>%</w:t>
            </w:r>
          </w:p>
        </w:tc>
      </w:tr>
      <w:tr w:rsidR="00260343" w:rsidRPr="00260343" w14:paraId="7C390A85" w14:textId="77777777" w:rsidTr="00236D3F">
        <w:tc>
          <w:tcPr>
            <w:tcW w:w="0" w:type="auto"/>
          </w:tcPr>
          <w:p w14:paraId="506F0906" w14:textId="77777777" w:rsidR="00260343" w:rsidRPr="00260343" w:rsidRDefault="00260343" w:rsidP="00785147">
            <w:pPr>
              <w:jc w:val="both"/>
              <w:rPr>
                <w:rFonts w:cstheme="minorHAnsi"/>
                <w:sz w:val="22"/>
                <w:szCs w:val="22"/>
              </w:rPr>
            </w:pPr>
            <w:r w:rsidRPr="00260343">
              <w:rPr>
                <w:rFonts w:cstheme="minorHAnsi"/>
                <w:sz w:val="22"/>
                <w:szCs w:val="22"/>
              </w:rPr>
              <w:t>0 - 225,000</w:t>
            </w:r>
          </w:p>
        </w:tc>
        <w:tc>
          <w:tcPr>
            <w:tcW w:w="0" w:type="auto"/>
          </w:tcPr>
          <w:p w14:paraId="4EBA15F4" w14:textId="77777777" w:rsidR="00260343" w:rsidRPr="00260343" w:rsidRDefault="00260343" w:rsidP="00785147">
            <w:pPr>
              <w:jc w:val="both"/>
              <w:rPr>
                <w:rFonts w:cstheme="minorHAnsi"/>
                <w:sz w:val="22"/>
                <w:szCs w:val="22"/>
              </w:rPr>
            </w:pPr>
            <w:r w:rsidRPr="00260343">
              <w:rPr>
                <w:rFonts w:cstheme="minorHAnsi"/>
                <w:sz w:val="22"/>
                <w:szCs w:val="22"/>
              </w:rPr>
              <w:t>0</w:t>
            </w:r>
          </w:p>
        </w:tc>
        <w:tc>
          <w:tcPr>
            <w:tcW w:w="0" w:type="auto"/>
          </w:tcPr>
          <w:p w14:paraId="53E90542" w14:textId="77777777" w:rsidR="00260343" w:rsidRPr="00260343" w:rsidRDefault="00260343" w:rsidP="00785147">
            <w:pPr>
              <w:jc w:val="both"/>
              <w:rPr>
                <w:rFonts w:cstheme="minorHAnsi"/>
                <w:sz w:val="22"/>
                <w:szCs w:val="22"/>
              </w:rPr>
            </w:pPr>
            <w:r w:rsidRPr="00260343">
              <w:rPr>
                <w:rFonts w:cstheme="minorHAnsi"/>
                <w:sz w:val="22"/>
                <w:szCs w:val="22"/>
              </w:rPr>
              <w:t>0 - 225,000</w:t>
            </w:r>
          </w:p>
        </w:tc>
        <w:tc>
          <w:tcPr>
            <w:tcW w:w="0" w:type="auto"/>
          </w:tcPr>
          <w:p w14:paraId="2D7BAA17" w14:textId="77777777" w:rsidR="00260343" w:rsidRPr="00260343" w:rsidRDefault="00260343" w:rsidP="00785147">
            <w:pPr>
              <w:jc w:val="both"/>
              <w:rPr>
                <w:rFonts w:cstheme="minorHAnsi"/>
                <w:sz w:val="22"/>
                <w:szCs w:val="22"/>
              </w:rPr>
            </w:pPr>
            <w:r w:rsidRPr="00260343">
              <w:rPr>
                <w:rFonts w:cstheme="minorHAnsi"/>
                <w:sz w:val="22"/>
                <w:szCs w:val="22"/>
              </w:rPr>
              <w:t>0</w:t>
            </w:r>
          </w:p>
        </w:tc>
      </w:tr>
      <w:tr w:rsidR="00260343" w:rsidRPr="00260343" w14:paraId="44505315" w14:textId="77777777" w:rsidTr="00236D3F">
        <w:tc>
          <w:tcPr>
            <w:tcW w:w="0" w:type="auto"/>
          </w:tcPr>
          <w:p w14:paraId="33558C2D" w14:textId="77777777" w:rsidR="00260343" w:rsidRPr="00260343" w:rsidRDefault="00260343" w:rsidP="00785147">
            <w:pPr>
              <w:jc w:val="both"/>
              <w:rPr>
                <w:rFonts w:cstheme="minorHAnsi"/>
                <w:sz w:val="22"/>
                <w:szCs w:val="22"/>
              </w:rPr>
            </w:pPr>
            <w:r w:rsidRPr="00260343">
              <w:rPr>
                <w:rFonts w:cstheme="minorHAnsi"/>
                <w:sz w:val="22"/>
                <w:szCs w:val="22"/>
              </w:rPr>
              <w:t>225,001 - 400,000</w:t>
            </w:r>
          </w:p>
        </w:tc>
        <w:tc>
          <w:tcPr>
            <w:tcW w:w="0" w:type="auto"/>
          </w:tcPr>
          <w:p w14:paraId="73EF5790" w14:textId="77777777" w:rsidR="00260343" w:rsidRPr="00260343" w:rsidRDefault="00260343" w:rsidP="00785147">
            <w:pPr>
              <w:jc w:val="both"/>
              <w:rPr>
                <w:rFonts w:cstheme="minorHAnsi"/>
                <w:sz w:val="22"/>
                <w:szCs w:val="22"/>
              </w:rPr>
            </w:pPr>
            <w:r w:rsidRPr="00260343">
              <w:rPr>
                <w:rFonts w:cstheme="minorHAnsi"/>
                <w:sz w:val="22"/>
                <w:szCs w:val="22"/>
              </w:rPr>
              <w:t>6</w:t>
            </w:r>
          </w:p>
        </w:tc>
        <w:tc>
          <w:tcPr>
            <w:tcW w:w="0" w:type="auto"/>
          </w:tcPr>
          <w:p w14:paraId="3FFF1883" w14:textId="77777777" w:rsidR="00260343" w:rsidRPr="00260343" w:rsidRDefault="00260343" w:rsidP="00785147">
            <w:pPr>
              <w:jc w:val="both"/>
              <w:rPr>
                <w:rFonts w:cstheme="minorHAnsi"/>
                <w:sz w:val="22"/>
                <w:szCs w:val="22"/>
              </w:rPr>
            </w:pPr>
            <w:r w:rsidRPr="00260343">
              <w:rPr>
                <w:rFonts w:cstheme="minorHAnsi"/>
                <w:sz w:val="22"/>
                <w:szCs w:val="22"/>
              </w:rPr>
              <w:t>225,001 - 250,000</w:t>
            </w:r>
          </w:p>
        </w:tc>
        <w:tc>
          <w:tcPr>
            <w:tcW w:w="0" w:type="auto"/>
          </w:tcPr>
          <w:p w14:paraId="385C3454" w14:textId="77777777" w:rsidR="00260343" w:rsidRPr="00260343" w:rsidRDefault="00260343" w:rsidP="00785147">
            <w:pPr>
              <w:jc w:val="both"/>
              <w:rPr>
                <w:rFonts w:cstheme="minorHAnsi"/>
                <w:sz w:val="22"/>
                <w:szCs w:val="22"/>
              </w:rPr>
            </w:pPr>
            <w:r w:rsidRPr="00260343">
              <w:rPr>
                <w:rFonts w:cstheme="minorHAnsi"/>
                <w:sz w:val="22"/>
                <w:szCs w:val="22"/>
              </w:rPr>
              <w:t>1</w:t>
            </w:r>
          </w:p>
        </w:tc>
      </w:tr>
      <w:tr w:rsidR="00260343" w:rsidRPr="00260343" w14:paraId="3BBC6FD8" w14:textId="77777777" w:rsidTr="00236D3F">
        <w:tc>
          <w:tcPr>
            <w:tcW w:w="0" w:type="auto"/>
          </w:tcPr>
          <w:p w14:paraId="58901AEE" w14:textId="77777777" w:rsidR="00260343" w:rsidRPr="00260343" w:rsidRDefault="00260343" w:rsidP="00785147">
            <w:pPr>
              <w:jc w:val="both"/>
              <w:rPr>
                <w:rFonts w:cstheme="minorHAnsi"/>
                <w:sz w:val="22"/>
                <w:szCs w:val="22"/>
              </w:rPr>
            </w:pPr>
            <w:r w:rsidRPr="00260343">
              <w:rPr>
                <w:rFonts w:cstheme="minorHAnsi"/>
                <w:sz w:val="22"/>
                <w:szCs w:val="22"/>
              </w:rPr>
              <w:t>400,001 - 750,000</w:t>
            </w:r>
          </w:p>
        </w:tc>
        <w:tc>
          <w:tcPr>
            <w:tcW w:w="0" w:type="auto"/>
          </w:tcPr>
          <w:p w14:paraId="2B65EF2F" w14:textId="77777777" w:rsidR="00260343" w:rsidRPr="00260343" w:rsidRDefault="00260343" w:rsidP="00785147">
            <w:pPr>
              <w:jc w:val="both"/>
              <w:rPr>
                <w:rFonts w:cstheme="minorHAnsi"/>
                <w:sz w:val="22"/>
                <w:szCs w:val="22"/>
              </w:rPr>
            </w:pPr>
            <w:r w:rsidRPr="00260343">
              <w:rPr>
                <w:rFonts w:cstheme="minorHAnsi"/>
                <w:sz w:val="22"/>
                <w:szCs w:val="22"/>
              </w:rPr>
              <w:t>7.5</w:t>
            </w:r>
          </w:p>
        </w:tc>
        <w:tc>
          <w:tcPr>
            <w:tcW w:w="0" w:type="auto"/>
          </w:tcPr>
          <w:p w14:paraId="0095A5EF" w14:textId="77777777" w:rsidR="00260343" w:rsidRPr="00260343" w:rsidRDefault="00260343" w:rsidP="00785147">
            <w:pPr>
              <w:jc w:val="both"/>
              <w:rPr>
                <w:rFonts w:cstheme="minorHAnsi"/>
                <w:sz w:val="22"/>
                <w:szCs w:val="22"/>
              </w:rPr>
            </w:pPr>
            <w:r w:rsidRPr="00260343">
              <w:rPr>
                <w:rFonts w:cstheme="minorHAnsi"/>
                <w:sz w:val="22"/>
                <w:szCs w:val="22"/>
              </w:rPr>
              <w:t>250,001 - 1,000,000</w:t>
            </w:r>
          </w:p>
        </w:tc>
        <w:tc>
          <w:tcPr>
            <w:tcW w:w="0" w:type="auto"/>
          </w:tcPr>
          <w:p w14:paraId="080B7CB9" w14:textId="77777777" w:rsidR="00260343" w:rsidRPr="00260343" w:rsidRDefault="00260343" w:rsidP="00785147">
            <w:pPr>
              <w:jc w:val="both"/>
              <w:rPr>
                <w:rFonts w:cstheme="minorHAnsi"/>
                <w:sz w:val="22"/>
                <w:szCs w:val="22"/>
              </w:rPr>
            </w:pPr>
            <w:r w:rsidRPr="00260343">
              <w:rPr>
                <w:rFonts w:cstheme="minorHAnsi"/>
                <w:sz w:val="22"/>
                <w:szCs w:val="22"/>
              </w:rPr>
              <w:t>5</w:t>
            </w:r>
          </w:p>
        </w:tc>
      </w:tr>
      <w:tr w:rsidR="00260343" w:rsidRPr="00260343" w14:paraId="62125718" w14:textId="77777777" w:rsidTr="00236D3F">
        <w:tc>
          <w:tcPr>
            <w:tcW w:w="0" w:type="auto"/>
          </w:tcPr>
          <w:p w14:paraId="471B7E02" w14:textId="77777777" w:rsidR="00260343" w:rsidRPr="00260343" w:rsidRDefault="00260343" w:rsidP="00785147">
            <w:pPr>
              <w:jc w:val="both"/>
              <w:rPr>
                <w:rFonts w:cstheme="minorHAnsi"/>
                <w:sz w:val="22"/>
                <w:szCs w:val="22"/>
              </w:rPr>
            </w:pPr>
            <w:r w:rsidRPr="00260343">
              <w:rPr>
                <w:rFonts w:cstheme="minorHAnsi"/>
                <w:sz w:val="22"/>
                <w:szCs w:val="22"/>
              </w:rPr>
              <w:t>750,001 - 1,500,000</w:t>
            </w:r>
          </w:p>
        </w:tc>
        <w:tc>
          <w:tcPr>
            <w:tcW w:w="0" w:type="auto"/>
          </w:tcPr>
          <w:p w14:paraId="04BDEE4B" w14:textId="77777777" w:rsidR="00260343" w:rsidRPr="00260343" w:rsidRDefault="00260343" w:rsidP="00785147">
            <w:pPr>
              <w:jc w:val="both"/>
              <w:rPr>
                <w:rFonts w:cstheme="minorHAnsi"/>
                <w:sz w:val="22"/>
                <w:szCs w:val="22"/>
              </w:rPr>
            </w:pPr>
            <w:r w:rsidRPr="00260343">
              <w:rPr>
                <w:rFonts w:cstheme="minorHAnsi"/>
                <w:sz w:val="22"/>
                <w:szCs w:val="22"/>
              </w:rPr>
              <w:t>10</w:t>
            </w:r>
          </w:p>
        </w:tc>
        <w:tc>
          <w:tcPr>
            <w:tcW w:w="0" w:type="auto"/>
          </w:tcPr>
          <w:p w14:paraId="056B6561" w14:textId="77777777" w:rsidR="00260343" w:rsidRPr="00260343" w:rsidRDefault="00260343" w:rsidP="00785147">
            <w:pPr>
              <w:jc w:val="both"/>
              <w:rPr>
                <w:rFonts w:cstheme="minorHAnsi"/>
                <w:sz w:val="22"/>
                <w:szCs w:val="22"/>
              </w:rPr>
            </w:pPr>
            <w:r w:rsidRPr="00260343">
              <w:rPr>
                <w:rFonts w:cstheme="minorHAnsi"/>
                <w:sz w:val="22"/>
                <w:szCs w:val="22"/>
              </w:rPr>
              <w:t>Over 1,000,000</w:t>
            </w:r>
          </w:p>
        </w:tc>
        <w:tc>
          <w:tcPr>
            <w:tcW w:w="0" w:type="auto"/>
          </w:tcPr>
          <w:p w14:paraId="041CDB36" w14:textId="77777777" w:rsidR="00260343" w:rsidRPr="00260343" w:rsidRDefault="00260343" w:rsidP="00785147">
            <w:pPr>
              <w:jc w:val="both"/>
              <w:rPr>
                <w:rFonts w:cstheme="minorHAnsi"/>
                <w:sz w:val="22"/>
                <w:szCs w:val="22"/>
              </w:rPr>
            </w:pPr>
            <w:r w:rsidRPr="00260343">
              <w:rPr>
                <w:rFonts w:cstheme="minorHAnsi"/>
                <w:sz w:val="22"/>
                <w:szCs w:val="22"/>
              </w:rPr>
              <w:t>6</w:t>
            </w:r>
          </w:p>
        </w:tc>
      </w:tr>
      <w:tr w:rsidR="00260343" w:rsidRPr="00260343" w14:paraId="151EF2DC" w14:textId="77777777" w:rsidTr="00236D3F">
        <w:tc>
          <w:tcPr>
            <w:tcW w:w="0" w:type="auto"/>
          </w:tcPr>
          <w:p w14:paraId="74A42190" w14:textId="77777777" w:rsidR="00260343" w:rsidRPr="00260343" w:rsidRDefault="00260343" w:rsidP="00785147">
            <w:pPr>
              <w:jc w:val="both"/>
              <w:rPr>
                <w:rFonts w:cstheme="minorHAnsi"/>
                <w:sz w:val="22"/>
                <w:szCs w:val="22"/>
              </w:rPr>
            </w:pPr>
            <w:r w:rsidRPr="00260343">
              <w:rPr>
                <w:rFonts w:cstheme="minorHAnsi"/>
                <w:sz w:val="22"/>
                <w:szCs w:val="22"/>
              </w:rPr>
              <w:t>Over 1,500,000</w:t>
            </w:r>
          </w:p>
        </w:tc>
        <w:tc>
          <w:tcPr>
            <w:tcW w:w="0" w:type="auto"/>
          </w:tcPr>
          <w:p w14:paraId="57A87617" w14:textId="77777777" w:rsidR="00260343" w:rsidRPr="00260343" w:rsidRDefault="00260343" w:rsidP="00785147">
            <w:pPr>
              <w:jc w:val="both"/>
              <w:rPr>
                <w:rFonts w:cstheme="minorHAnsi"/>
                <w:sz w:val="22"/>
                <w:szCs w:val="22"/>
              </w:rPr>
            </w:pPr>
            <w:r w:rsidRPr="00260343">
              <w:rPr>
                <w:rFonts w:cstheme="minorHAnsi"/>
                <w:sz w:val="22"/>
                <w:szCs w:val="22"/>
              </w:rPr>
              <w:t>12</w:t>
            </w:r>
          </w:p>
        </w:tc>
        <w:tc>
          <w:tcPr>
            <w:tcW w:w="0" w:type="auto"/>
          </w:tcPr>
          <w:p w14:paraId="74C73608" w14:textId="77777777" w:rsidR="00260343" w:rsidRPr="00260343" w:rsidRDefault="00260343" w:rsidP="00785147">
            <w:pPr>
              <w:jc w:val="both"/>
              <w:rPr>
                <w:rFonts w:cstheme="minorHAnsi"/>
                <w:sz w:val="22"/>
                <w:szCs w:val="22"/>
              </w:rPr>
            </w:pPr>
          </w:p>
        </w:tc>
        <w:tc>
          <w:tcPr>
            <w:tcW w:w="0" w:type="auto"/>
          </w:tcPr>
          <w:p w14:paraId="1970BD68" w14:textId="77777777" w:rsidR="00260343" w:rsidRPr="00260343" w:rsidRDefault="00260343" w:rsidP="00785147">
            <w:pPr>
              <w:jc w:val="both"/>
              <w:rPr>
                <w:rFonts w:cstheme="minorHAnsi"/>
                <w:sz w:val="22"/>
                <w:szCs w:val="22"/>
              </w:rPr>
            </w:pPr>
          </w:p>
        </w:tc>
      </w:tr>
    </w:tbl>
    <w:p w14:paraId="5F579E9D"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Higher rates may be payable where further residential properties are acquired.</w:t>
      </w:r>
    </w:p>
    <w:p w14:paraId="3F6CCBD2" w14:textId="77777777" w:rsidR="00260343" w:rsidRPr="00260343" w:rsidRDefault="00260343" w:rsidP="00785147">
      <w:pPr>
        <w:pStyle w:val="Heading2"/>
        <w:jc w:val="both"/>
        <w:rPr>
          <w:rFonts w:asciiTheme="minorHAnsi" w:hAnsiTheme="minorHAnsi" w:cstheme="minorHAnsi"/>
          <w:b/>
          <w:bCs/>
          <w:color w:val="auto"/>
          <w:sz w:val="24"/>
          <w:szCs w:val="24"/>
        </w:rPr>
      </w:pPr>
      <w:bookmarkStart w:id="13" w:name="business"/>
      <w:bookmarkEnd w:id="12"/>
      <w:r w:rsidRPr="00260343">
        <w:rPr>
          <w:rFonts w:asciiTheme="minorHAnsi" w:hAnsiTheme="minorHAnsi" w:cstheme="minorHAnsi"/>
          <w:b/>
          <w:bCs/>
          <w:color w:val="auto"/>
          <w:sz w:val="24"/>
          <w:szCs w:val="24"/>
        </w:rPr>
        <w:t>Business</w:t>
      </w:r>
    </w:p>
    <w:p w14:paraId="4BD40883" w14:textId="77777777" w:rsidR="00260343" w:rsidRPr="00260343" w:rsidRDefault="00260343" w:rsidP="00785147">
      <w:pPr>
        <w:pStyle w:val="Heading3"/>
        <w:jc w:val="both"/>
        <w:rPr>
          <w:rFonts w:asciiTheme="minorHAnsi" w:hAnsiTheme="minorHAnsi" w:cstheme="minorHAnsi"/>
          <w:b/>
          <w:bCs/>
          <w:i/>
          <w:iCs/>
          <w:sz w:val="24"/>
          <w:szCs w:val="24"/>
        </w:rPr>
      </w:pPr>
      <w:bookmarkStart w:id="14" w:name="corporation-tax-rates"/>
      <w:r w:rsidRPr="00260343">
        <w:rPr>
          <w:rFonts w:asciiTheme="minorHAnsi" w:hAnsiTheme="minorHAnsi" w:cstheme="minorHAnsi"/>
          <w:b/>
          <w:bCs/>
          <w:i/>
          <w:iCs/>
          <w:sz w:val="24"/>
          <w:szCs w:val="24"/>
        </w:rPr>
        <w:t>Corporation tax rates</w:t>
      </w:r>
    </w:p>
    <w:p w14:paraId="20575F89" w14:textId="77777777" w:rsidR="00260343" w:rsidRPr="00260343" w:rsidRDefault="00260343" w:rsidP="00785147">
      <w:pPr>
        <w:pStyle w:val="FirstParagraph"/>
        <w:jc w:val="both"/>
        <w:rPr>
          <w:rFonts w:asciiTheme="minorHAnsi" w:hAnsiTheme="minorHAnsi" w:cstheme="minorHAnsi"/>
          <w:sz w:val="22"/>
          <w:szCs w:val="22"/>
        </w:rPr>
      </w:pPr>
      <w:r w:rsidRPr="00260343">
        <w:rPr>
          <w:rFonts w:asciiTheme="minorHAnsi" w:hAnsiTheme="minorHAnsi" w:cstheme="minorHAnsi"/>
          <w:sz w:val="22"/>
          <w:szCs w:val="22"/>
        </w:rPr>
        <w:t>It had been previously announced that the expected increase in the rate of corporation tax for many companies from April 2023 to 25% would not go ahead. However the government announced on 14 October 2022 that this increase will now proceed and this has been confirmed.</w:t>
      </w:r>
    </w:p>
    <w:p w14:paraId="52F8CB5B"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This means that, from April 2023, the rate will increase to 25% for companies with profits over £250,000. The 19% rate will become a small profits rate payable by companies with profits of £50,000 or less. Companies with profits between £50,001 and £250,000 will pay tax at the main rate reduced by a marginal relief, providing a gradual increase in the effective corporation tax rate.</w:t>
      </w:r>
    </w:p>
    <w:p w14:paraId="2D9E51EE"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In addition:</w:t>
      </w:r>
    </w:p>
    <w:p w14:paraId="2DB9D235" w14:textId="77777777" w:rsidR="00260343" w:rsidRPr="00260343" w:rsidRDefault="00260343" w:rsidP="00785147">
      <w:pPr>
        <w:pStyle w:val="Compact"/>
        <w:numPr>
          <w:ilvl w:val="0"/>
          <w:numId w:val="5"/>
        </w:numPr>
        <w:jc w:val="both"/>
        <w:rPr>
          <w:rFonts w:asciiTheme="minorHAnsi" w:hAnsiTheme="minorHAnsi" w:cstheme="minorHAnsi"/>
          <w:sz w:val="22"/>
          <w:szCs w:val="22"/>
        </w:rPr>
      </w:pPr>
      <w:r w:rsidRPr="00260343">
        <w:rPr>
          <w:rFonts w:asciiTheme="minorHAnsi" w:hAnsiTheme="minorHAnsi" w:cstheme="minorHAnsi"/>
          <w:sz w:val="22"/>
          <w:szCs w:val="22"/>
        </w:rPr>
        <w:t>bank corporation tax surcharge changes will proceed, meaning that from April 2023 banks will be charged an additional 3% rate on their profits above £100 million and</w:t>
      </w:r>
    </w:p>
    <w:p w14:paraId="4CC1FE50" w14:textId="200DFD6B" w:rsidR="00260343" w:rsidRDefault="00260343" w:rsidP="00785147">
      <w:pPr>
        <w:pStyle w:val="Compact"/>
        <w:numPr>
          <w:ilvl w:val="0"/>
          <w:numId w:val="5"/>
        </w:numPr>
        <w:jc w:val="both"/>
        <w:rPr>
          <w:rFonts w:asciiTheme="minorHAnsi" w:hAnsiTheme="minorHAnsi" w:cstheme="minorHAnsi"/>
          <w:sz w:val="22"/>
          <w:szCs w:val="22"/>
        </w:rPr>
      </w:pPr>
      <w:r w:rsidRPr="00260343">
        <w:rPr>
          <w:rFonts w:asciiTheme="minorHAnsi" w:hAnsiTheme="minorHAnsi" w:cstheme="minorHAnsi"/>
          <w:sz w:val="22"/>
          <w:szCs w:val="22"/>
        </w:rPr>
        <w:t>from April 2023 the rate of diverted profits tax will increase from 25% to 31%.</w:t>
      </w:r>
    </w:p>
    <w:p w14:paraId="53BFA32C" w14:textId="77777777" w:rsidR="00260343" w:rsidRPr="00260343" w:rsidRDefault="00260343" w:rsidP="00785147">
      <w:pPr>
        <w:pStyle w:val="Compact"/>
        <w:ind w:left="480"/>
        <w:jc w:val="both"/>
        <w:rPr>
          <w:rFonts w:asciiTheme="minorHAnsi" w:hAnsiTheme="minorHAnsi" w:cstheme="minorHAnsi"/>
          <w:sz w:val="22"/>
          <w:szCs w:val="22"/>
        </w:rPr>
      </w:pPr>
    </w:p>
    <w:p w14:paraId="494632B5" w14:textId="77777777" w:rsidR="00260343" w:rsidRPr="00260343" w:rsidRDefault="00260343" w:rsidP="00785147">
      <w:pPr>
        <w:pStyle w:val="Heading3"/>
        <w:jc w:val="both"/>
        <w:rPr>
          <w:rFonts w:asciiTheme="minorHAnsi" w:hAnsiTheme="minorHAnsi" w:cstheme="minorHAnsi"/>
          <w:b/>
          <w:bCs/>
          <w:sz w:val="24"/>
          <w:szCs w:val="24"/>
        </w:rPr>
      </w:pPr>
      <w:bookmarkStart w:id="15" w:name="capital-allowances"/>
      <w:bookmarkEnd w:id="14"/>
      <w:r w:rsidRPr="00260343">
        <w:rPr>
          <w:rFonts w:asciiTheme="minorHAnsi" w:hAnsiTheme="minorHAnsi" w:cstheme="minorHAnsi"/>
          <w:b/>
          <w:bCs/>
          <w:sz w:val="24"/>
          <w:szCs w:val="24"/>
        </w:rPr>
        <w:t>Capital allowances</w:t>
      </w:r>
    </w:p>
    <w:p w14:paraId="251415F5" w14:textId="77777777" w:rsidR="00260343" w:rsidRPr="00260343" w:rsidRDefault="00260343" w:rsidP="00785147">
      <w:pPr>
        <w:pStyle w:val="FirstParagraph"/>
        <w:jc w:val="both"/>
        <w:rPr>
          <w:sz w:val="24"/>
        </w:rPr>
      </w:pPr>
      <w:r w:rsidRPr="00260343">
        <w:rPr>
          <w:rFonts w:asciiTheme="minorHAnsi" w:hAnsiTheme="minorHAnsi" w:cstheme="minorHAnsi"/>
          <w:sz w:val="22"/>
          <w:szCs w:val="22"/>
        </w:rPr>
        <w:t>The Annual Investment Allowance (AIA) gives a 100% write-off on certain types of plant and machinery up to certain financial limits per 12-month period. The limit has been £1 million for some time but was scheduled to reduce to £200,000 from April 2023. The government has announced that the</w:t>
      </w:r>
      <w:r w:rsidRPr="00260343">
        <w:rPr>
          <w:sz w:val="22"/>
          <w:szCs w:val="22"/>
        </w:rPr>
        <w:t xml:space="preserve"> </w:t>
      </w:r>
      <w:r w:rsidRPr="00260343">
        <w:rPr>
          <w:rFonts w:asciiTheme="minorHAnsi" w:hAnsiTheme="minorHAnsi" w:cstheme="minorHAnsi"/>
          <w:sz w:val="22"/>
          <w:szCs w:val="22"/>
        </w:rPr>
        <w:t>temporary £1 million level of the AIA will become permanent and the proposed reduction will not occur.</w:t>
      </w:r>
    </w:p>
    <w:p w14:paraId="0E9B276E"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lastRenderedPageBreak/>
        <w:t>Up to 31 March 2023, companies investing in qualifying new plant and machinery are able to benefit from capital allowances, generally referred to as ‘super-deductions’. These reliefs are not available for unincorporated businesses.</w:t>
      </w:r>
    </w:p>
    <w:p w14:paraId="71446F1D" w14:textId="3B8E9F38"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 xml:space="preserve">Companies incurring expenditure on plant and machinery should carefully consider the timing of their acquisitions to </w:t>
      </w:r>
      <w:proofErr w:type="spellStart"/>
      <w:r w:rsidRPr="00260343">
        <w:rPr>
          <w:rFonts w:asciiTheme="minorHAnsi" w:hAnsiTheme="minorHAnsi" w:cstheme="minorHAnsi"/>
          <w:sz w:val="22"/>
          <w:szCs w:val="22"/>
        </w:rPr>
        <w:t>optimise</w:t>
      </w:r>
      <w:proofErr w:type="spellEnd"/>
      <w:r w:rsidRPr="00260343">
        <w:rPr>
          <w:rFonts w:asciiTheme="minorHAnsi" w:hAnsiTheme="minorHAnsi" w:cstheme="minorHAnsi"/>
          <w:sz w:val="22"/>
          <w:szCs w:val="22"/>
        </w:rPr>
        <w:t> their cashflow.</w:t>
      </w:r>
    </w:p>
    <w:p w14:paraId="6906B146" w14:textId="77777777" w:rsidR="00260343" w:rsidRPr="00260343" w:rsidRDefault="00260343" w:rsidP="00785147">
      <w:pPr>
        <w:pStyle w:val="BodyText"/>
        <w:jc w:val="both"/>
        <w:rPr>
          <w:rFonts w:asciiTheme="minorHAnsi" w:hAnsiTheme="minorHAnsi" w:cstheme="minorHAnsi"/>
          <w:sz w:val="22"/>
          <w:szCs w:val="22"/>
        </w:rPr>
      </w:pPr>
      <w:r w:rsidRPr="00260343">
        <w:rPr>
          <w:rFonts w:asciiTheme="minorHAnsi" w:hAnsiTheme="minorHAnsi" w:cstheme="minorHAnsi"/>
          <w:sz w:val="22"/>
          <w:szCs w:val="22"/>
        </w:rPr>
        <w:t xml:space="preserve">The government will also extend the 100% first year allowance for electric vehicle </w:t>
      </w:r>
      <w:proofErr w:type="spellStart"/>
      <w:r w:rsidRPr="00260343">
        <w:rPr>
          <w:rFonts w:asciiTheme="minorHAnsi" w:hAnsiTheme="minorHAnsi" w:cstheme="minorHAnsi"/>
          <w:sz w:val="22"/>
          <w:szCs w:val="22"/>
        </w:rPr>
        <w:t>chargepoints</w:t>
      </w:r>
      <w:proofErr w:type="spellEnd"/>
      <w:r w:rsidRPr="00260343">
        <w:rPr>
          <w:rFonts w:asciiTheme="minorHAnsi" w:hAnsiTheme="minorHAnsi" w:cstheme="minorHAnsi"/>
          <w:sz w:val="22"/>
          <w:szCs w:val="22"/>
        </w:rPr>
        <w:t> to 31 March 2025 for corporation tax purposes and 5 April 2025 for income tax purposes.</w:t>
      </w:r>
    </w:p>
    <w:p w14:paraId="40CBB68D" w14:textId="77777777" w:rsidR="00260343" w:rsidRPr="00260343" w:rsidRDefault="00260343" w:rsidP="00785147">
      <w:pPr>
        <w:pStyle w:val="Heading3"/>
        <w:jc w:val="both"/>
        <w:rPr>
          <w:rFonts w:asciiTheme="minorHAnsi" w:hAnsiTheme="minorHAnsi" w:cstheme="minorHAnsi"/>
          <w:b/>
          <w:bCs/>
          <w:sz w:val="24"/>
          <w:szCs w:val="24"/>
        </w:rPr>
      </w:pPr>
      <w:bookmarkStart w:id="16" w:name="research-and-development"/>
      <w:bookmarkEnd w:id="15"/>
      <w:r w:rsidRPr="00260343">
        <w:rPr>
          <w:rFonts w:asciiTheme="minorHAnsi" w:hAnsiTheme="minorHAnsi" w:cstheme="minorHAnsi"/>
          <w:b/>
          <w:bCs/>
          <w:sz w:val="24"/>
          <w:szCs w:val="24"/>
        </w:rPr>
        <w:t>Research and Development</w:t>
      </w:r>
    </w:p>
    <w:p w14:paraId="62271D2E" w14:textId="12C8968E" w:rsidR="00260343" w:rsidRPr="00260343" w:rsidRDefault="00785147" w:rsidP="00785147">
      <w:pPr>
        <w:pStyle w:val="FirstParagraph"/>
        <w:jc w:val="both"/>
        <w:rPr>
          <w:rFonts w:asciiTheme="minorHAnsi" w:hAnsiTheme="minorHAnsi" w:cstheme="minorHAnsi"/>
          <w:sz w:val="22"/>
          <w:szCs w:val="22"/>
        </w:rPr>
      </w:pPr>
      <w:r w:rsidRPr="00395CB6">
        <w:rPr>
          <w:rFonts w:cs="Arial"/>
          <w:noProof/>
          <w:szCs w:val="20"/>
          <w:lang w:eastAsia="en-GB"/>
        </w:rPr>
        <mc:AlternateContent>
          <mc:Choice Requires="wps">
            <w:drawing>
              <wp:anchor distT="0" distB="0" distL="114300" distR="114300" simplePos="0" relativeHeight="251668480" behindDoc="1" locked="0" layoutInCell="0" allowOverlap="1" wp14:anchorId="34447FF5" wp14:editId="42EDA096">
                <wp:simplePos x="0" y="0"/>
                <wp:positionH relativeFrom="column">
                  <wp:posOffset>5321300</wp:posOffset>
                </wp:positionH>
                <wp:positionV relativeFrom="paragraph">
                  <wp:posOffset>247015</wp:posOffset>
                </wp:positionV>
                <wp:extent cx="1097280" cy="6706235"/>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670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478B1" w14:textId="77777777" w:rsidR="00785147" w:rsidRDefault="00785147" w:rsidP="00785147">
                            <w:pPr>
                              <w:rPr>
                                <w:sz w:val="16"/>
                              </w:rPr>
                            </w:pPr>
                          </w:p>
                          <w:p w14:paraId="7F06E747"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46E38BD9" w14:textId="77777777" w:rsidR="00785147" w:rsidRDefault="00785147" w:rsidP="00785147"/>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47FF5" id="_x0000_s1031" type="#_x0000_t202" style="position:absolute;left:0;text-align:left;margin-left:419pt;margin-top:19.45pt;width:86.4pt;height:52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" o:allowincell="f" stroked="f">
                <v:path arrowok="t"/>
                <v:textbox style="layout-flow:vertical">
                  <w:txbxContent>
                    <w:p w14:paraId="333478B1" w14:textId="77777777" w:rsidR="00785147" w:rsidRDefault="00785147" w:rsidP="00785147">
                      <w:pPr>
                        <w:rPr>
                          <w:sz w:val="16"/>
                        </w:rPr>
                      </w:pPr>
                    </w:p>
                    <w:p w14:paraId="7F06E747"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46E38BD9" w14:textId="77777777" w:rsidR="00785147" w:rsidRDefault="00785147" w:rsidP="00785147"/>
                  </w:txbxContent>
                </v:textbox>
              </v:shape>
            </w:pict>
          </mc:Fallback>
        </mc:AlternateContent>
      </w:r>
      <w:r w:rsidR="00260343" w:rsidRPr="00260343">
        <w:rPr>
          <w:rFonts w:asciiTheme="minorHAnsi" w:hAnsiTheme="minorHAnsi" w:cstheme="minorHAnsi"/>
          <w:sz w:val="22"/>
          <w:szCs w:val="22"/>
        </w:rPr>
        <w:t xml:space="preserve">For expenditure on or after 1 April 2023, the Research and Development Expenditure Credit (RDEC) rate will increase from 13% to 20% but the small and medium-sized enterprises (SME) additional deduction will decrease from 130% to 86% and the SME credit rate will decrease </w:t>
      </w:r>
      <w:proofErr w:type="spellStart"/>
      <w:r>
        <w:rPr>
          <w:rFonts w:asciiTheme="minorHAnsi" w:hAnsiTheme="minorHAnsi" w:cstheme="minorHAnsi"/>
          <w:sz w:val="22"/>
          <w:szCs w:val="22"/>
        </w:rPr>
        <w:t>v</w:t>
      </w:r>
      <w:r w:rsidR="00260343" w:rsidRPr="00260343">
        <w:rPr>
          <w:rFonts w:asciiTheme="minorHAnsi" w:hAnsiTheme="minorHAnsi" w:cstheme="minorHAnsi"/>
          <w:sz w:val="22"/>
          <w:szCs w:val="22"/>
        </w:rPr>
        <w:t>from</w:t>
      </w:r>
      <w:proofErr w:type="spellEnd"/>
      <w:r w:rsidR="00260343" w:rsidRPr="00260343">
        <w:rPr>
          <w:rFonts w:asciiTheme="minorHAnsi" w:hAnsiTheme="minorHAnsi" w:cstheme="minorHAnsi"/>
          <w:sz w:val="22"/>
          <w:szCs w:val="22"/>
        </w:rPr>
        <w:t xml:space="preserve"> 14.5% to 10%.</w:t>
      </w:r>
    </w:p>
    <w:p w14:paraId="11976560" w14:textId="57C38D04" w:rsidR="00260343" w:rsidRPr="00785147" w:rsidRDefault="00785147" w:rsidP="00785147">
      <w:pPr>
        <w:pStyle w:val="BodyText"/>
        <w:jc w:val="both"/>
        <w:rPr>
          <w:rFonts w:asciiTheme="minorHAnsi" w:hAnsiTheme="minorHAnsi" w:cstheme="minorHAnsi"/>
          <w:i/>
          <w:iCs/>
          <w:sz w:val="22"/>
          <w:szCs w:val="22"/>
        </w:rPr>
      </w:pPr>
      <w:r w:rsidRPr="00785147">
        <w:rPr>
          <w:rFonts w:asciiTheme="minorHAnsi" w:hAnsiTheme="minorHAnsi" w:cstheme="minorHAnsi"/>
          <w:i/>
          <w:iCs/>
          <w:sz w:val="22"/>
          <w:szCs w:val="22"/>
        </w:rPr>
        <w:t>This government states that ‘this reform ensures that taxpayer support is as effective as possible, improves the competitiveness of the RDEC scheme, and is a step towards a simplified, single RDEC-like scheme for all’. The government will consult on the design of a single scheme and consider whether further support is necessary for R&amp;D intensive SMEs. As previously announced at Autumn Budget 2021, the R&amp;D tax reliefs will be reformed by expanding qualifying expenditure to include data and cloud costs, refocusing support towards innovation in the UK, and targeting abuse and improving compliance.</w:t>
      </w:r>
    </w:p>
    <w:p w14:paraId="2B0D2D32" w14:textId="77777777" w:rsidR="00260343" w:rsidRPr="00785147" w:rsidRDefault="00260343" w:rsidP="00785147">
      <w:pPr>
        <w:pStyle w:val="Heading3"/>
        <w:jc w:val="both"/>
        <w:rPr>
          <w:rFonts w:asciiTheme="minorHAnsi" w:hAnsiTheme="minorHAnsi" w:cstheme="minorHAnsi"/>
          <w:b/>
          <w:bCs/>
          <w:sz w:val="24"/>
          <w:szCs w:val="24"/>
        </w:rPr>
      </w:pPr>
      <w:bookmarkStart w:id="17" w:name="seed-enterprise-investment-scheme"/>
      <w:bookmarkEnd w:id="16"/>
      <w:r w:rsidRPr="00785147">
        <w:rPr>
          <w:rFonts w:asciiTheme="minorHAnsi" w:hAnsiTheme="minorHAnsi" w:cstheme="minorHAnsi"/>
          <w:b/>
          <w:bCs/>
          <w:sz w:val="24"/>
          <w:szCs w:val="24"/>
        </w:rPr>
        <w:t>Seed Enterprise Investment Scheme</w:t>
      </w:r>
    </w:p>
    <w:p w14:paraId="338BA2B1"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From April 2023, companies will be able to raise up to £250,000 of Seed Enterprise Investment Scheme (SEIS) investment, a two-thirds increase. To enable more companies to use SEIS, the gross asset limit will be increased to £350,000 and the age limit from two to three years. To support these increases, the annual investor limit will be doubled to £200,000.</w:t>
      </w:r>
    </w:p>
    <w:p w14:paraId="0EED3DBD" w14:textId="77777777" w:rsidR="00260343" w:rsidRPr="00785147" w:rsidRDefault="00260343" w:rsidP="00785147">
      <w:pPr>
        <w:pStyle w:val="Heading3"/>
        <w:jc w:val="both"/>
        <w:rPr>
          <w:rFonts w:asciiTheme="minorHAnsi" w:hAnsiTheme="minorHAnsi" w:cstheme="minorHAnsi"/>
          <w:b/>
          <w:bCs/>
          <w:sz w:val="24"/>
          <w:szCs w:val="24"/>
        </w:rPr>
      </w:pPr>
      <w:bookmarkStart w:id="18" w:name="company-share-option-plan"/>
      <w:bookmarkEnd w:id="17"/>
      <w:r w:rsidRPr="00785147">
        <w:rPr>
          <w:rFonts w:asciiTheme="minorHAnsi" w:hAnsiTheme="minorHAnsi" w:cstheme="minorHAnsi"/>
          <w:b/>
          <w:bCs/>
          <w:sz w:val="24"/>
          <w:szCs w:val="24"/>
        </w:rPr>
        <w:t>Company Share Option Plan</w:t>
      </w:r>
    </w:p>
    <w:p w14:paraId="3E66428B"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From April 2023, qualifying companies will be able to issue up to £60,000 of Company Share Option Plan (CSOP) options to employees, twice the current £30,000 limit. The ‘worth having’ restriction on share classes within CSOP will be eased, better aligning the scheme rules with the rules in the Enterprise Management Incentive scheme and widening access to CSOP for growth companies.</w:t>
      </w:r>
    </w:p>
    <w:p w14:paraId="7413A1E3" w14:textId="77777777" w:rsidR="00260343" w:rsidRPr="00785147" w:rsidRDefault="00260343" w:rsidP="00785147">
      <w:pPr>
        <w:pStyle w:val="Heading2"/>
        <w:jc w:val="both"/>
        <w:rPr>
          <w:rFonts w:asciiTheme="minorHAnsi" w:hAnsiTheme="minorHAnsi" w:cstheme="minorHAnsi"/>
          <w:b/>
          <w:bCs/>
          <w:color w:val="auto"/>
          <w:sz w:val="24"/>
          <w:szCs w:val="24"/>
        </w:rPr>
      </w:pPr>
      <w:bookmarkStart w:id="19" w:name="vat"/>
      <w:bookmarkEnd w:id="13"/>
      <w:bookmarkEnd w:id="18"/>
      <w:r w:rsidRPr="00785147">
        <w:rPr>
          <w:rFonts w:asciiTheme="minorHAnsi" w:hAnsiTheme="minorHAnsi" w:cstheme="minorHAnsi"/>
          <w:b/>
          <w:bCs/>
          <w:color w:val="auto"/>
          <w:sz w:val="24"/>
          <w:szCs w:val="24"/>
        </w:rPr>
        <w:t>VAT</w:t>
      </w:r>
    </w:p>
    <w:p w14:paraId="3036880A"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The VAT registration and deregistration thresholds will not change for a further period of two years from 1 April 2024, staying at £85,000 and £83,000 respectively.</w:t>
      </w:r>
    </w:p>
    <w:p w14:paraId="370DA3CD" w14:textId="31966495" w:rsidR="00260343" w:rsidRPr="00785147" w:rsidRDefault="00785147" w:rsidP="00785147">
      <w:pPr>
        <w:pStyle w:val="BodyText"/>
        <w:jc w:val="both"/>
        <w:rPr>
          <w:rFonts w:asciiTheme="minorHAnsi" w:hAnsiTheme="minorHAnsi" w:cstheme="minorHAnsi"/>
          <w:i/>
          <w:iCs/>
          <w:sz w:val="22"/>
          <w:szCs w:val="22"/>
        </w:rPr>
      </w:pPr>
      <w:r w:rsidRPr="00785147">
        <w:rPr>
          <w:rFonts w:asciiTheme="minorHAnsi" w:hAnsiTheme="minorHAnsi" w:cstheme="minorHAnsi"/>
          <w:i/>
          <w:iCs/>
          <w:sz w:val="22"/>
          <w:szCs w:val="22"/>
        </w:rPr>
        <w:t>According to the government, at £85,000, the UK’s VAT registration threshold is more than twice as high as the EU and OECD averages.</w:t>
      </w:r>
    </w:p>
    <w:p w14:paraId="2A3B6F13" w14:textId="77777777" w:rsidR="00260343" w:rsidRPr="00785147" w:rsidRDefault="00260343" w:rsidP="00785147">
      <w:pPr>
        <w:pStyle w:val="Heading2"/>
        <w:jc w:val="both"/>
        <w:rPr>
          <w:rFonts w:asciiTheme="minorHAnsi" w:hAnsiTheme="minorHAnsi" w:cstheme="minorHAnsi"/>
          <w:b/>
          <w:bCs/>
          <w:color w:val="auto"/>
          <w:sz w:val="24"/>
          <w:szCs w:val="24"/>
        </w:rPr>
      </w:pPr>
      <w:bookmarkStart w:id="20" w:name="vehicles"/>
      <w:bookmarkEnd w:id="19"/>
      <w:r w:rsidRPr="00785147">
        <w:rPr>
          <w:rFonts w:asciiTheme="minorHAnsi" w:hAnsiTheme="minorHAnsi" w:cstheme="minorHAnsi"/>
          <w:b/>
          <w:bCs/>
          <w:color w:val="auto"/>
          <w:sz w:val="24"/>
          <w:szCs w:val="24"/>
        </w:rPr>
        <w:t>Vehicles</w:t>
      </w:r>
    </w:p>
    <w:p w14:paraId="4520FFE6"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 xml:space="preserve">The government will set the rates for the taxation of company car benefits until April 2028 to provide long term certainty for taxpayers and industry. Rates will continue to </w:t>
      </w:r>
      <w:proofErr w:type="spellStart"/>
      <w:r w:rsidRPr="00785147">
        <w:rPr>
          <w:rFonts w:asciiTheme="minorHAnsi" w:hAnsiTheme="minorHAnsi" w:cstheme="minorHAnsi"/>
          <w:sz w:val="22"/>
          <w:szCs w:val="22"/>
        </w:rPr>
        <w:t>incentivise</w:t>
      </w:r>
      <w:proofErr w:type="spellEnd"/>
      <w:r w:rsidRPr="00785147">
        <w:rPr>
          <w:rFonts w:asciiTheme="minorHAnsi" w:hAnsiTheme="minorHAnsi" w:cstheme="minorHAnsi"/>
          <w:sz w:val="22"/>
          <w:szCs w:val="22"/>
        </w:rPr>
        <w:t xml:space="preserve"> the take up of electric vehicles.</w:t>
      </w:r>
    </w:p>
    <w:p w14:paraId="1E05E5C9" w14:textId="77777777" w:rsidR="00260343" w:rsidRPr="00785147" w:rsidRDefault="00260343" w:rsidP="00785147">
      <w:pPr>
        <w:pStyle w:val="BodyText"/>
        <w:jc w:val="both"/>
        <w:rPr>
          <w:rFonts w:asciiTheme="minorHAnsi" w:hAnsiTheme="minorHAnsi" w:cstheme="minorHAnsi"/>
          <w:sz w:val="22"/>
          <w:szCs w:val="22"/>
        </w:rPr>
      </w:pPr>
      <w:r w:rsidRPr="00785147">
        <w:rPr>
          <w:rFonts w:asciiTheme="minorHAnsi" w:hAnsiTheme="minorHAnsi" w:cstheme="minorHAnsi"/>
          <w:sz w:val="22"/>
          <w:szCs w:val="22"/>
        </w:rPr>
        <w:t>In addition, from 6 April 2023 car and van fuel benefits and the van benefit charge will increase in line with inflation.</w:t>
      </w:r>
    </w:p>
    <w:p w14:paraId="634D1194" w14:textId="77777777" w:rsidR="00260343" w:rsidRPr="00260343" w:rsidRDefault="00260343" w:rsidP="00785147">
      <w:pPr>
        <w:pStyle w:val="BodyText"/>
        <w:jc w:val="both"/>
        <w:rPr>
          <w:sz w:val="24"/>
        </w:rPr>
      </w:pPr>
    </w:p>
    <w:p w14:paraId="5D7A809E" w14:textId="0B2184C9" w:rsidR="00785147" w:rsidRPr="00785147" w:rsidRDefault="00785147" w:rsidP="00785147">
      <w:pPr>
        <w:pStyle w:val="Heading2"/>
        <w:jc w:val="both"/>
        <w:rPr>
          <w:rFonts w:asciiTheme="minorHAnsi" w:hAnsiTheme="minorHAnsi" w:cstheme="minorHAnsi"/>
          <w:i/>
          <w:iCs/>
          <w:color w:val="auto"/>
          <w:sz w:val="22"/>
          <w:szCs w:val="22"/>
        </w:rPr>
      </w:pPr>
      <w:bookmarkStart w:id="21" w:name="welfare-work-and-pensions"/>
      <w:bookmarkEnd w:id="20"/>
      <w:r w:rsidRPr="00785147">
        <w:rPr>
          <w:rFonts w:asciiTheme="minorHAnsi" w:hAnsiTheme="minorHAnsi" w:cstheme="minorHAnsi"/>
          <w:i/>
          <w:iCs/>
          <w:color w:val="auto"/>
          <w:sz w:val="22"/>
          <w:szCs w:val="22"/>
        </w:rPr>
        <w:lastRenderedPageBreak/>
        <w:t>In addition, from April 2025 electric cars, vans and motorcycles will begin to pay Vehicle Excise Duty in the same way as petrol and diesel vehicles. According to the government, this will ensure that all road users begin to pay a fair tax contribution as the take up of electric vehicles continues to accelerate.</w:t>
      </w:r>
    </w:p>
    <w:p w14:paraId="387567F2" w14:textId="77777777" w:rsidR="00785147" w:rsidRDefault="00785147" w:rsidP="00785147">
      <w:pPr>
        <w:pStyle w:val="Heading2"/>
        <w:jc w:val="both"/>
        <w:rPr>
          <w:sz w:val="24"/>
          <w:szCs w:val="24"/>
        </w:rPr>
      </w:pPr>
    </w:p>
    <w:p w14:paraId="24A497FE" w14:textId="3FA5031E" w:rsidR="00260343" w:rsidRPr="00785147" w:rsidRDefault="00260343" w:rsidP="00785147">
      <w:pPr>
        <w:pStyle w:val="Heading2"/>
        <w:jc w:val="both"/>
        <w:rPr>
          <w:rFonts w:asciiTheme="minorHAnsi" w:hAnsiTheme="minorHAnsi" w:cstheme="minorHAnsi"/>
          <w:b/>
          <w:bCs/>
          <w:color w:val="auto"/>
          <w:sz w:val="24"/>
          <w:szCs w:val="24"/>
        </w:rPr>
      </w:pPr>
      <w:r w:rsidRPr="00785147">
        <w:rPr>
          <w:rFonts w:asciiTheme="minorHAnsi" w:hAnsiTheme="minorHAnsi" w:cstheme="minorHAnsi"/>
          <w:b/>
          <w:bCs/>
          <w:color w:val="auto"/>
          <w:sz w:val="24"/>
          <w:szCs w:val="24"/>
        </w:rPr>
        <w:t>Welfare, work and pensions</w:t>
      </w:r>
    </w:p>
    <w:p w14:paraId="5967ACAF" w14:textId="77777777" w:rsidR="00260343" w:rsidRPr="00785147" w:rsidRDefault="00260343" w:rsidP="00785147">
      <w:pPr>
        <w:pStyle w:val="Heading3"/>
        <w:jc w:val="both"/>
        <w:rPr>
          <w:rFonts w:asciiTheme="minorHAnsi" w:hAnsiTheme="minorHAnsi" w:cstheme="minorHAnsi"/>
          <w:b/>
          <w:bCs/>
          <w:i/>
          <w:iCs/>
          <w:sz w:val="24"/>
          <w:szCs w:val="24"/>
        </w:rPr>
      </w:pPr>
      <w:bookmarkStart w:id="22" w:name="cost-of-living-payments"/>
      <w:r w:rsidRPr="00785147">
        <w:rPr>
          <w:rFonts w:asciiTheme="minorHAnsi" w:hAnsiTheme="minorHAnsi" w:cstheme="minorHAnsi"/>
          <w:b/>
          <w:bCs/>
          <w:i/>
          <w:iCs/>
          <w:sz w:val="24"/>
          <w:szCs w:val="24"/>
        </w:rPr>
        <w:t>Cost of living payments</w:t>
      </w:r>
    </w:p>
    <w:p w14:paraId="7958A55D"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The government will provide households on means-tested benefits with an additional £900 cost of living payment in 2023/24. Pensioner households will receive an additional £300 and individuals on disability benefits will receive an additional £150.</w:t>
      </w:r>
    </w:p>
    <w:p w14:paraId="58CCE149" w14:textId="77777777" w:rsidR="00260343" w:rsidRPr="00785147" w:rsidRDefault="00260343" w:rsidP="00785147">
      <w:pPr>
        <w:pStyle w:val="Heading3"/>
        <w:jc w:val="both"/>
        <w:rPr>
          <w:rFonts w:asciiTheme="minorHAnsi" w:hAnsiTheme="minorHAnsi" w:cstheme="minorHAnsi"/>
          <w:b/>
          <w:bCs/>
          <w:sz w:val="24"/>
          <w:szCs w:val="24"/>
        </w:rPr>
      </w:pPr>
      <w:bookmarkStart w:id="23" w:name="uprating-of-benefits"/>
      <w:bookmarkEnd w:id="22"/>
      <w:r w:rsidRPr="00785147">
        <w:rPr>
          <w:rFonts w:asciiTheme="minorHAnsi" w:hAnsiTheme="minorHAnsi" w:cstheme="minorHAnsi"/>
          <w:b/>
          <w:bCs/>
          <w:sz w:val="24"/>
          <w:szCs w:val="24"/>
        </w:rPr>
        <w:t>Uprating of benefits</w:t>
      </w:r>
    </w:p>
    <w:p w14:paraId="46EB9B24" w14:textId="42D23DFF" w:rsidR="00260343" w:rsidRPr="00785147" w:rsidRDefault="00785147" w:rsidP="00785147">
      <w:pPr>
        <w:pStyle w:val="FirstParagraph"/>
        <w:jc w:val="both"/>
        <w:rPr>
          <w:rFonts w:asciiTheme="minorHAnsi" w:hAnsiTheme="minorHAnsi" w:cstheme="minorHAnsi"/>
          <w:sz w:val="22"/>
          <w:szCs w:val="22"/>
        </w:rPr>
      </w:pPr>
      <w:r w:rsidRPr="00395CB6">
        <w:rPr>
          <w:rFonts w:cs="Arial"/>
          <w:noProof/>
          <w:szCs w:val="20"/>
          <w:lang w:eastAsia="en-GB"/>
        </w:rPr>
        <mc:AlternateContent>
          <mc:Choice Requires="wps">
            <w:drawing>
              <wp:anchor distT="0" distB="0" distL="114300" distR="114300" simplePos="0" relativeHeight="251670528" behindDoc="1" locked="0" layoutInCell="0" allowOverlap="1" wp14:anchorId="16A14817" wp14:editId="445755C6">
                <wp:simplePos x="0" y="0"/>
                <wp:positionH relativeFrom="column">
                  <wp:posOffset>5321300</wp:posOffset>
                </wp:positionH>
                <wp:positionV relativeFrom="paragraph">
                  <wp:posOffset>-77470</wp:posOffset>
                </wp:positionV>
                <wp:extent cx="1097280" cy="670623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670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764FCF" w14:textId="77777777" w:rsidR="00785147" w:rsidRDefault="00785147" w:rsidP="00785147">
                            <w:pPr>
                              <w:rPr>
                                <w:sz w:val="16"/>
                              </w:rPr>
                            </w:pPr>
                          </w:p>
                          <w:p w14:paraId="24E07199"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5172B34D" w14:textId="77777777" w:rsidR="00785147" w:rsidRDefault="00785147" w:rsidP="00785147"/>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14817" id="_x0000_s1032" type="#_x0000_t202" style="position:absolute;left:0;text-align:left;margin-left:419pt;margin-top:-6.1pt;width:86.4pt;height:528.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" o:allowincell="f" stroked="f">
                <v:path arrowok="t"/>
                <v:textbox style="layout-flow:vertical">
                  <w:txbxContent>
                    <w:p w14:paraId="1B764FCF" w14:textId="77777777" w:rsidR="00785147" w:rsidRDefault="00785147" w:rsidP="00785147">
                      <w:pPr>
                        <w:rPr>
                          <w:sz w:val="16"/>
                        </w:rPr>
                      </w:pPr>
                    </w:p>
                    <w:p w14:paraId="24E07199"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5172B34D" w14:textId="77777777" w:rsidR="00785147" w:rsidRDefault="00785147" w:rsidP="00785147"/>
                  </w:txbxContent>
                </v:textbox>
              </v:shape>
            </w:pict>
          </mc:Fallback>
        </mc:AlternateContent>
      </w:r>
      <w:r w:rsidR="00260343" w:rsidRPr="00785147">
        <w:rPr>
          <w:rFonts w:asciiTheme="minorHAnsi" w:hAnsiTheme="minorHAnsi" w:cstheme="minorHAnsi"/>
          <w:sz w:val="22"/>
          <w:szCs w:val="22"/>
        </w:rPr>
        <w:t>The government will increase benefits in line with inflation, including the state pension. The standard minimum income guarantee in pension credit will also increase in line with inflation from April 2023.</w:t>
      </w:r>
    </w:p>
    <w:p w14:paraId="57AB83F3" w14:textId="616F6A19" w:rsidR="00260343" w:rsidRPr="00785147" w:rsidRDefault="00785147" w:rsidP="00785147">
      <w:pPr>
        <w:pStyle w:val="BodyText"/>
        <w:jc w:val="both"/>
        <w:rPr>
          <w:rFonts w:asciiTheme="minorHAnsi" w:hAnsiTheme="minorHAnsi" w:cstheme="minorHAnsi"/>
          <w:i/>
          <w:iCs/>
          <w:sz w:val="22"/>
          <w:szCs w:val="22"/>
        </w:rPr>
      </w:pPr>
      <w:r w:rsidRPr="00785147">
        <w:rPr>
          <w:rFonts w:asciiTheme="minorHAnsi" w:hAnsiTheme="minorHAnsi" w:cstheme="minorHAnsi"/>
          <w:i/>
          <w:iCs/>
          <w:sz w:val="22"/>
          <w:szCs w:val="22"/>
        </w:rPr>
        <w:t>Around 19 million families will see their benefit payments increase from April 2023.</w:t>
      </w:r>
    </w:p>
    <w:p w14:paraId="07004003" w14:textId="77777777" w:rsidR="00260343" w:rsidRPr="00785147" w:rsidRDefault="00260343" w:rsidP="00785147">
      <w:pPr>
        <w:pStyle w:val="Heading3"/>
        <w:jc w:val="both"/>
        <w:rPr>
          <w:rFonts w:asciiTheme="minorHAnsi" w:hAnsiTheme="minorHAnsi" w:cstheme="minorHAnsi"/>
          <w:b/>
          <w:bCs/>
          <w:sz w:val="24"/>
          <w:szCs w:val="24"/>
        </w:rPr>
      </w:pPr>
      <w:bookmarkStart w:id="24" w:name="raising-the-benefit-cap"/>
      <w:bookmarkEnd w:id="23"/>
      <w:r w:rsidRPr="00785147">
        <w:rPr>
          <w:rFonts w:asciiTheme="minorHAnsi" w:hAnsiTheme="minorHAnsi" w:cstheme="minorHAnsi"/>
          <w:b/>
          <w:bCs/>
          <w:sz w:val="24"/>
          <w:szCs w:val="24"/>
        </w:rPr>
        <w:t>Raising the benefit cap</w:t>
      </w:r>
    </w:p>
    <w:p w14:paraId="2FA477F4"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The benefit cap will be raised in line with inflation, so that more households will see their payments increase as a result of uprating from April 2023. The cap will be raised from £20,000 to £22,020 for families nationally and from £23,000 to £25,323 in Greater London. For single adults it will be raised from £13,400 to £14,753 nationally and from £15,410 to £16,967 in Greater London.</w:t>
      </w:r>
    </w:p>
    <w:p w14:paraId="539A9356" w14:textId="77777777" w:rsidR="00260343" w:rsidRPr="00785147" w:rsidRDefault="00260343" w:rsidP="00785147">
      <w:pPr>
        <w:pStyle w:val="Heading3"/>
        <w:jc w:val="both"/>
        <w:rPr>
          <w:rFonts w:asciiTheme="minorHAnsi" w:hAnsiTheme="minorHAnsi" w:cstheme="minorHAnsi"/>
          <w:b/>
          <w:bCs/>
          <w:sz w:val="24"/>
          <w:szCs w:val="24"/>
        </w:rPr>
      </w:pPr>
      <w:bookmarkStart w:id="25" w:name="Xa018c3aee1a7aa69b5c704c38d7f26b426d8b32"/>
      <w:bookmarkEnd w:id="24"/>
      <w:r w:rsidRPr="00785147">
        <w:rPr>
          <w:rFonts w:asciiTheme="minorHAnsi" w:hAnsiTheme="minorHAnsi" w:cstheme="minorHAnsi"/>
          <w:b/>
          <w:bCs/>
          <w:sz w:val="24"/>
          <w:szCs w:val="24"/>
        </w:rPr>
        <w:t>National Living Wage and National Minimum Wage uprating</w:t>
      </w:r>
    </w:p>
    <w:p w14:paraId="6C1334AD"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The government will increase the National Living Wage (NLW) and National Minimum Wage from 1 April 2023 as follows:</w:t>
      </w:r>
    </w:p>
    <w:p w14:paraId="37D8BEB2" w14:textId="77777777" w:rsidR="00260343" w:rsidRPr="00785147" w:rsidRDefault="00260343" w:rsidP="00785147">
      <w:pPr>
        <w:pStyle w:val="Compact"/>
        <w:numPr>
          <w:ilvl w:val="0"/>
          <w:numId w:val="5"/>
        </w:numPr>
        <w:jc w:val="both"/>
        <w:rPr>
          <w:rFonts w:asciiTheme="minorHAnsi" w:hAnsiTheme="minorHAnsi" w:cstheme="minorHAnsi"/>
          <w:sz w:val="22"/>
          <w:szCs w:val="22"/>
        </w:rPr>
      </w:pPr>
      <w:r w:rsidRPr="00785147">
        <w:rPr>
          <w:rFonts w:asciiTheme="minorHAnsi" w:hAnsiTheme="minorHAnsi" w:cstheme="minorHAnsi"/>
          <w:sz w:val="22"/>
          <w:szCs w:val="22"/>
        </w:rPr>
        <w:t xml:space="preserve">the rate for 23 year </w:t>
      </w:r>
      <w:proofErr w:type="spellStart"/>
      <w:r w:rsidRPr="00785147">
        <w:rPr>
          <w:rFonts w:asciiTheme="minorHAnsi" w:hAnsiTheme="minorHAnsi" w:cstheme="minorHAnsi"/>
          <w:sz w:val="22"/>
          <w:szCs w:val="22"/>
        </w:rPr>
        <w:t>olds</w:t>
      </w:r>
      <w:proofErr w:type="spellEnd"/>
      <w:r w:rsidRPr="00785147">
        <w:rPr>
          <w:rFonts w:asciiTheme="minorHAnsi" w:hAnsiTheme="minorHAnsi" w:cstheme="minorHAnsi"/>
          <w:sz w:val="22"/>
          <w:szCs w:val="22"/>
        </w:rPr>
        <w:t xml:space="preserve"> and over to £10.42 an hour</w:t>
      </w:r>
    </w:p>
    <w:p w14:paraId="1118713B" w14:textId="77777777" w:rsidR="00260343" w:rsidRPr="00785147" w:rsidRDefault="00260343" w:rsidP="00785147">
      <w:pPr>
        <w:pStyle w:val="Compact"/>
        <w:numPr>
          <w:ilvl w:val="0"/>
          <w:numId w:val="5"/>
        </w:numPr>
        <w:jc w:val="both"/>
        <w:rPr>
          <w:rFonts w:asciiTheme="minorHAnsi" w:hAnsiTheme="minorHAnsi" w:cstheme="minorHAnsi"/>
          <w:sz w:val="22"/>
          <w:szCs w:val="22"/>
        </w:rPr>
      </w:pPr>
      <w:r w:rsidRPr="00785147">
        <w:rPr>
          <w:rFonts w:asciiTheme="minorHAnsi" w:hAnsiTheme="minorHAnsi" w:cstheme="minorHAnsi"/>
          <w:sz w:val="22"/>
          <w:szCs w:val="22"/>
        </w:rPr>
        <w:t xml:space="preserve">the rate for 21-22 year </w:t>
      </w:r>
      <w:proofErr w:type="spellStart"/>
      <w:r w:rsidRPr="00785147">
        <w:rPr>
          <w:rFonts w:asciiTheme="minorHAnsi" w:hAnsiTheme="minorHAnsi" w:cstheme="minorHAnsi"/>
          <w:sz w:val="22"/>
          <w:szCs w:val="22"/>
        </w:rPr>
        <w:t>olds</w:t>
      </w:r>
      <w:proofErr w:type="spellEnd"/>
      <w:r w:rsidRPr="00785147">
        <w:rPr>
          <w:rFonts w:asciiTheme="minorHAnsi" w:hAnsiTheme="minorHAnsi" w:cstheme="minorHAnsi"/>
          <w:sz w:val="22"/>
          <w:szCs w:val="22"/>
        </w:rPr>
        <w:t xml:space="preserve"> to £10.18 an hour</w:t>
      </w:r>
    </w:p>
    <w:p w14:paraId="71BCB19B" w14:textId="77777777" w:rsidR="00260343" w:rsidRPr="00785147" w:rsidRDefault="00260343" w:rsidP="00785147">
      <w:pPr>
        <w:pStyle w:val="Compact"/>
        <w:numPr>
          <w:ilvl w:val="0"/>
          <w:numId w:val="5"/>
        </w:numPr>
        <w:jc w:val="both"/>
        <w:rPr>
          <w:rFonts w:asciiTheme="minorHAnsi" w:hAnsiTheme="minorHAnsi" w:cstheme="minorHAnsi"/>
          <w:sz w:val="22"/>
          <w:szCs w:val="22"/>
        </w:rPr>
      </w:pPr>
      <w:r w:rsidRPr="00785147">
        <w:rPr>
          <w:rFonts w:asciiTheme="minorHAnsi" w:hAnsiTheme="minorHAnsi" w:cstheme="minorHAnsi"/>
          <w:sz w:val="22"/>
          <w:szCs w:val="22"/>
        </w:rPr>
        <w:t xml:space="preserve">the rate for 18-20 year </w:t>
      </w:r>
      <w:proofErr w:type="spellStart"/>
      <w:r w:rsidRPr="00785147">
        <w:rPr>
          <w:rFonts w:asciiTheme="minorHAnsi" w:hAnsiTheme="minorHAnsi" w:cstheme="minorHAnsi"/>
          <w:sz w:val="22"/>
          <w:szCs w:val="22"/>
        </w:rPr>
        <w:t>olds</w:t>
      </w:r>
      <w:proofErr w:type="spellEnd"/>
      <w:r w:rsidRPr="00785147">
        <w:rPr>
          <w:rFonts w:asciiTheme="minorHAnsi" w:hAnsiTheme="minorHAnsi" w:cstheme="minorHAnsi"/>
          <w:sz w:val="22"/>
          <w:szCs w:val="22"/>
        </w:rPr>
        <w:t xml:space="preserve"> to £7.49 an hour</w:t>
      </w:r>
    </w:p>
    <w:p w14:paraId="6EF68AF4" w14:textId="77777777" w:rsidR="00260343" w:rsidRPr="00785147" w:rsidRDefault="00260343" w:rsidP="00785147">
      <w:pPr>
        <w:pStyle w:val="Compact"/>
        <w:numPr>
          <w:ilvl w:val="0"/>
          <w:numId w:val="5"/>
        </w:numPr>
        <w:jc w:val="both"/>
        <w:rPr>
          <w:rFonts w:asciiTheme="minorHAnsi" w:hAnsiTheme="minorHAnsi" w:cstheme="minorHAnsi"/>
          <w:sz w:val="22"/>
          <w:szCs w:val="22"/>
        </w:rPr>
      </w:pPr>
      <w:r w:rsidRPr="00785147">
        <w:rPr>
          <w:rFonts w:asciiTheme="minorHAnsi" w:hAnsiTheme="minorHAnsi" w:cstheme="minorHAnsi"/>
          <w:sz w:val="22"/>
          <w:szCs w:val="22"/>
        </w:rPr>
        <w:t xml:space="preserve">the rate for 16-17 year </w:t>
      </w:r>
      <w:proofErr w:type="spellStart"/>
      <w:r w:rsidRPr="00785147">
        <w:rPr>
          <w:rFonts w:asciiTheme="minorHAnsi" w:hAnsiTheme="minorHAnsi" w:cstheme="minorHAnsi"/>
          <w:sz w:val="22"/>
          <w:szCs w:val="22"/>
        </w:rPr>
        <w:t>olds</w:t>
      </w:r>
      <w:proofErr w:type="spellEnd"/>
      <w:r w:rsidRPr="00785147">
        <w:rPr>
          <w:rFonts w:asciiTheme="minorHAnsi" w:hAnsiTheme="minorHAnsi" w:cstheme="minorHAnsi"/>
          <w:sz w:val="22"/>
          <w:szCs w:val="22"/>
        </w:rPr>
        <w:t xml:space="preserve"> to £5.28 an hour and</w:t>
      </w:r>
    </w:p>
    <w:p w14:paraId="033DB864" w14:textId="77777777" w:rsidR="00260343" w:rsidRPr="00785147" w:rsidRDefault="00260343" w:rsidP="00785147">
      <w:pPr>
        <w:pStyle w:val="Compact"/>
        <w:numPr>
          <w:ilvl w:val="0"/>
          <w:numId w:val="5"/>
        </w:numPr>
        <w:jc w:val="both"/>
        <w:rPr>
          <w:rFonts w:asciiTheme="minorHAnsi" w:hAnsiTheme="minorHAnsi" w:cstheme="minorHAnsi"/>
          <w:sz w:val="22"/>
          <w:szCs w:val="22"/>
        </w:rPr>
      </w:pPr>
      <w:r w:rsidRPr="00785147">
        <w:rPr>
          <w:rFonts w:asciiTheme="minorHAnsi" w:hAnsiTheme="minorHAnsi" w:cstheme="minorHAnsi"/>
          <w:sz w:val="22"/>
          <w:szCs w:val="22"/>
        </w:rPr>
        <w:t>the apprentice rate to £5.28 an hour.</w:t>
      </w:r>
    </w:p>
    <w:p w14:paraId="71D790A5" w14:textId="7B20BC17" w:rsidR="00260343" w:rsidRPr="00785147" w:rsidRDefault="00785147" w:rsidP="00785147">
      <w:pPr>
        <w:pStyle w:val="FirstParagraph"/>
        <w:jc w:val="both"/>
        <w:rPr>
          <w:rFonts w:asciiTheme="minorHAnsi" w:hAnsiTheme="minorHAnsi" w:cstheme="minorHAnsi"/>
          <w:i/>
          <w:iCs/>
          <w:sz w:val="22"/>
          <w:szCs w:val="22"/>
        </w:rPr>
      </w:pPr>
      <w:r w:rsidRPr="00785147">
        <w:rPr>
          <w:rFonts w:asciiTheme="minorHAnsi" w:hAnsiTheme="minorHAnsi" w:cstheme="minorHAnsi"/>
          <w:i/>
          <w:iCs/>
          <w:sz w:val="22"/>
          <w:szCs w:val="22"/>
        </w:rPr>
        <w:t>This represents an increase of over £1,600 to the annual earnings of a full-time worker on the NLW and is expected to benefit over two million low paid workers.</w:t>
      </w:r>
    </w:p>
    <w:p w14:paraId="6ADDB604" w14:textId="77777777" w:rsidR="00260343" w:rsidRPr="00785147" w:rsidRDefault="00260343" w:rsidP="00785147">
      <w:pPr>
        <w:pStyle w:val="Heading3"/>
        <w:jc w:val="both"/>
        <w:rPr>
          <w:rFonts w:asciiTheme="minorHAnsi" w:hAnsiTheme="minorHAnsi" w:cstheme="minorHAnsi"/>
          <w:b/>
          <w:bCs/>
          <w:sz w:val="24"/>
          <w:szCs w:val="24"/>
        </w:rPr>
      </w:pPr>
      <w:bookmarkStart w:id="26" w:name="X84f40ec0f01a6db42f2771b483dc0e67fdce2cc"/>
      <w:bookmarkEnd w:id="25"/>
      <w:r w:rsidRPr="00785147">
        <w:rPr>
          <w:rFonts w:asciiTheme="minorHAnsi" w:hAnsiTheme="minorHAnsi" w:cstheme="minorHAnsi"/>
          <w:b/>
          <w:bCs/>
          <w:sz w:val="24"/>
          <w:szCs w:val="24"/>
        </w:rPr>
        <w:t>In-work conditionality for Universal Credit claimants</w:t>
      </w:r>
    </w:p>
    <w:p w14:paraId="569CAB71"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 xml:space="preserve">The government will bring forward the nationwide rollout of the In-Work Progression Offer, starting with a phased rollout from September 2023, to support individuals on Universal Credit (UC) and in work to increase their earnings and move off benefits entirely. This will mean that over 600,000 claimants on UC whose household income is typically between the equivalent of 15 and 35 hours a week at the NLW will be required to meet with a dedicated work coach in a </w:t>
      </w:r>
      <w:proofErr w:type="spellStart"/>
      <w:r w:rsidRPr="00785147">
        <w:rPr>
          <w:rFonts w:asciiTheme="minorHAnsi" w:hAnsiTheme="minorHAnsi" w:cstheme="minorHAnsi"/>
          <w:sz w:val="22"/>
          <w:szCs w:val="22"/>
        </w:rPr>
        <w:t>Jobcentre</w:t>
      </w:r>
      <w:proofErr w:type="spellEnd"/>
      <w:r w:rsidRPr="00785147">
        <w:rPr>
          <w:rFonts w:asciiTheme="minorHAnsi" w:hAnsiTheme="minorHAnsi" w:cstheme="minorHAnsi"/>
          <w:sz w:val="22"/>
          <w:szCs w:val="22"/>
        </w:rPr>
        <w:t xml:space="preserve"> Plus to increase their hours or earnings.</w:t>
      </w:r>
    </w:p>
    <w:p w14:paraId="5369EEC8" w14:textId="77777777" w:rsidR="00260343" w:rsidRPr="00785147" w:rsidRDefault="00260343" w:rsidP="00785147">
      <w:pPr>
        <w:pStyle w:val="Heading2"/>
        <w:jc w:val="both"/>
        <w:rPr>
          <w:rFonts w:asciiTheme="minorHAnsi" w:hAnsiTheme="minorHAnsi" w:cstheme="minorHAnsi"/>
          <w:b/>
          <w:bCs/>
          <w:color w:val="auto"/>
          <w:sz w:val="24"/>
          <w:szCs w:val="24"/>
        </w:rPr>
      </w:pPr>
      <w:bookmarkStart w:id="27" w:name="energy"/>
      <w:bookmarkEnd w:id="21"/>
      <w:bookmarkEnd w:id="26"/>
      <w:r w:rsidRPr="00785147">
        <w:rPr>
          <w:rFonts w:asciiTheme="minorHAnsi" w:hAnsiTheme="minorHAnsi" w:cstheme="minorHAnsi"/>
          <w:b/>
          <w:bCs/>
          <w:color w:val="auto"/>
          <w:sz w:val="24"/>
          <w:szCs w:val="24"/>
        </w:rPr>
        <w:t>Energy</w:t>
      </w:r>
    </w:p>
    <w:p w14:paraId="21FA5B9B" w14:textId="77777777" w:rsidR="00260343" w:rsidRPr="00785147" w:rsidRDefault="00260343" w:rsidP="00785147">
      <w:pPr>
        <w:pStyle w:val="FirstParagraph"/>
        <w:jc w:val="both"/>
        <w:rPr>
          <w:rFonts w:asciiTheme="minorHAnsi" w:hAnsiTheme="minorHAnsi" w:cstheme="minorHAnsi"/>
          <w:sz w:val="22"/>
          <w:szCs w:val="22"/>
        </w:rPr>
      </w:pPr>
      <w:r w:rsidRPr="00785147">
        <w:rPr>
          <w:rFonts w:asciiTheme="minorHAnsi" w:hAnsiTheme="minorHAnsi" w:cstheme="minorHAnsi"/>
          <w:sz w:val="22"/>
          <w:szCs w:val="22"/>
        </w:rPr>
        <w:t>The Autumn Statement sets out reforms to ensure businesses in the energy sector who are making extraordinary profits contribute more. From 1 January 2023, the Energy Profits Levy will be increased to 35% and extended to the end of March 2028 and a new, temporary 45% Electricity Generator Levy will be applied on the extraordinary returns being made by electricity generators.</w:t>
      </w:r>
    </w:p>
    <w:p w14:paraId="1C9900D5" w14:textId="77777777" w:rsidR="00260343" w:rsidRPr="00785147" w:rsidRDefault="00260343" w:rsidP="00785147">
      <w:pPr>
        <w:pStyle w:val="BodyText"/>
        <w:jc w:val="both"/>
        <w:rPr>
          <w:rFonts w:asciiTheme="minorHAnsi" w:hAnsiTheme="minorHAnsi" w:cstheme="minorHAnsi"/>
          <w:sz w:val="22"/>
          <w:szCs w:val="22"/>
        </w:rPr>
      </w:pPr>
      <w:r w:rsidRPr="00785147">
        <w:rPr>
          <w:rFonts w:asciiTheme="minorHAnsi" w:hAnsiTheme="minorHAnsi" w:cstheme="minorHAnsi"/>
          <w:sz w:val="22"/>
          <w:szCs w:val="22"/>
        </w:rPr>
        <w:lastRenderedPageBreak/>
        <w:t>The Energy Price Guarantee (EPG) will be maintained through the winter, limiting typical energy bills to £2,500 per year. From April 2023 the EPG will rise to £3,000.</w:t>
      </w:r>
    </w:p>
    <w:p w14:paraId="34C1B5B5" w14:textId="530A15EC" w:rsidR="00260343" w:rsidRPr="00785147" w:rsidRDefault="00785147" w:rsidP="00785147">
      <w:pPr>
        <w:pStyle w:val="BodyText"/>
        <w:jc w:val="both"/>
        <w:rPr>
          <w:rFonts w:asciiTheme="minorHAnsi" w:hAnsiTheme="minorHAnsi" w:cstheme="minorHAnsi"/>
          <w:sz w:val="22"/>
          <w:szCs w:val="22"/>
        </w:rPr>
      </w:pPr>
      <w:r w:rsidRPr="00395CB6">
        <w:rPr>
          <w:rFonts w:cs="Arial"/>
          <w:noProof/>
          <w:szCs w:val="20"/>
          <w:lang w:eastAsia="en-GB"/>
        </w:rPr>
        <mc:AlternateContent>
          <mc:Choice Requires="wps">
            <w:drawing>
              <wp:anchor distT="0" distB="0" distL="114300" distR="114300" simplePos="0" relativeHeight="251672576" behindDoc="1" locked="0" layoutInCell="0" allowOverlap="1" wp14:anchorId="44F7CDC9" wp14:editId="719E6F29">
                <wp:simplePos x="0" y="0"/>
                <wp:positionH relativeFrom="column">
                  <wp:posOffset>5321300</wp:posOffset>
                </wp:positionH>
                <wp:positionV relativeFrom="paragraph">
                  <wp:posOffset>1684655</wp:posOffset>
                </wp:positionV>
                <wp:extent cx="1097280" cy="6706235"/>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97280" cy="6706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13EEEA" w14:textId="77777777" w:rsidR="00785147" w:rsidRDefault="00785147" w:rsidP="00785147">
                            <w:pPr>
                              <w:rPr>
                                <w:sz w:val="16"/>
                              </w:rPr>
                            </w:pPr>
                          </w:p>
                          <w:p w14:paraId="1FC14294"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5423EAC0" w14:textId="77777777" w:rsidR="00785147" w:rsidRDefault="00785147" w:rsidP="00785147"/>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CDC9" id="_x0000_s1033" type="#_x0000_t202" style="position:absolute;left:0;text-align:left;margin-left:419pt;margin-top:132.65pt;width:86.4pt;height:528.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" o:allowincell="f" stroked="f">
                <v:path arrowok="t"/>
                <v:textbox style="layout-flow:vertical">
                  <w:txbxContent>
                    <w:p w14:paraId="2813EEEA" w14:textId="77777777" w:rsidR="00785147" w:rsidRDefault="00785147" w:rsidP="00785147">
                      <w:pPr>
                        <w:rPr>
                          <w:sz w:val="16"/>
                        </w:rPr>
                      </w:pPr>
                    </w:p>
                    <w:p w14:paraId="1FC14294" w14:textId="77777777" w:rsidR="00785147" w:rsidRDefault="00785147" w:rsidP="00785147">
                      <w:pPr>
                        <w:pStyle w:val="Heading3"/>
                        <w:rPr>
                          <w:color w:val="C0C0C0"/>
                        </w:rPr>
                      </w:pPr>
                      <w:r>
                        <w:rPr>
                          <w:color w:val="C0C0C0"/>
                        </w:rPr>
                        <w:t xml:space="preserve">I  n  f  o  r  m  a  t  </w:t>
                      </w:r>
                      <w:proofErr w:type="spellStart"/>
                      <w:r>
                        <w:rPr>
                          <w:color w:val="C0C0C0"/>
                        </w:rPr>
                        <w:t>i</w:t>
                      </w:r>
                      <w:proofErr w:type="spellEnd"/>
                      <w:r>
                        <w:rPr>
                          <w:color w:val="C0C0C0"/>
                        </w:rPr>
                        <w:t xml:space="preserve">  o  n  </w:t>
                      </w:r>
                    </w:p>
                    <w:p w14:paraId="5423EAC0" w14:textId="77777777" w:rsidR="00785147" w:rsidRDefault="00785147" w:rsidP="00785147"/>
                  </w:txbxContent>
                </v:textbox>
              </v:shape>
            </w:pict>
          </mc:Fallback>
        </mc:AlternateContent>
      </w:r>
      <w:r w:rsidR="00260343" w:rsidRPr="00785147">
        <w:rPr>
          <w:rFonts w:asciiTheme="minorHAnsi" w:hAnsiTheme="minorHAnsi" w:cstheme="minorHAnsi"/>
          <w:sz w:val="22"/>
          <w:szCs w:val="22"/>
        </w:rPr>
        <w:t>The government is also setting a national ambition to reduce energy consumption by 15% by 2030, delivered through public and private investment, and a range of cost-free and low-cost steps to reduce energy demand.</w:t>
      </w:r>
    </w:p>
    <w:bookmarkEnd w:id="0"/>
    <w:bookmarkEnd w:id="27"/>
    <w:p w14:paraId="1C830307" w14:textId="77777777" w:rsidR="002D4CF4" w:rsidRPr="00260343" w:rsidRDefault="00EB1AAC" w:rsidP="00E8789A">
      <w:pPr>
        <w:ind w:left="-142" w:firstLine="3"/>
        <w:jc w:val="both"/>
        <w:rPr>
          <w:rFonts w:ascii="Calibri" w:hAnsi="Calibri" w:cs="Arial"/>
        </w:rPr>
      </w:pPr>
      <w:r w:rsidRPr="00260343">
        <w:rPr>
          <w:rFonts w:ascii="Calibri" w:hAnsi="Calibri"/>
          <w:noProof/>
        </w:rPr>
        <mc:AlternateContent>
          <mc:Choice Requires="wps">
            <w:drawing>
              <wp:anchor distT="0" distB="0" distL="114300" distR="114300" simplePos="0" relativeHeight="251656192" behindDoc="0" locked="0" layoutInCell="1" allowOverlap="1" wp14:anchorId="0EDAEF5E" wp14:editId="001DB50E">
                <wp:simplePos x="0" y="0"/>
                <wp:positionH relativeFrom="column">
                  <wp:posOffset>-728980</wp:posOffset>
                </wp:positionH>
                <wp:positionV relativeFrom="paragraph">
                  <wp:posOffset>7698105</wp:posOffset>
                </wp:positionV>
                <wp:extent cx="697230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7346F"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pt,606.15pt" to="491.6pt,6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" strokecolor="red">
                <o:lock v:ext="edit" shapetype="f"/>
              </v:line>
            </w:pict>
          </mc:Fallback>
        </mc:AlternateContent>
      </w:r>
    </w:p>
    <w:sectPr w:rsidR="002D4CF4" w:rsidRPr="00260343" w:rsidSect="004B3C39">
      <w:footerReference w:type="default" r:id="rId8"/>
      <w:pgSz w:w="11900" w:h="16840"/>
      <w:pgMar w:top="284" w:right="1797" w:bottom="28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EB98" w14:textId="77777777" w:rsidR="006A1DA5" w:rsidRDefault="006A1DA5">
      <w:r>
        <w:separator/>
      </w:r>
    </w:p>
  </w:endnote>
  <w:endnote w:type="continuationSeparator" w:id="0">
    <w:p w14:paraId="6505C887" w14:textId="77777777" w:rsidR="006A1DA5" w:rsidRDefault="006A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0055" w14:textId="77777777" w:rsidR="00AF7755" w:rsidRDefault="00AF7755" w:rsidP="009E0893">
    <w:pPr>
      <w:pStyle w:val="Footer"/>
      <w:tabs>
        <w:tab w:val="clear" w:pos="8306"/>
        <w:tab w:val="right" w:pos="9498"/>
      </w:tabs>
      <w:ind w:right="-1339"/>
      <w:jc w:val="center"/>
      <w:rPr>
        <w:rFonts w:ascii="Arial" w:hAnsi="Arial" w:cs="Arial"/>
        <w:sz w:val="16"/>
        <w:szCs w:val="16"/>
      </w:rPr>
    </w:pPr>
    <w:r>
      <w:rPr>
        <w:rFonts w:ascii="Arial" w:hAnsi="Arial" w:cs="Arial"/>
        <w:sz w:val="16"/>
        <w:szCs w:val="16"/>
      </w:rPr>
      <w:t xml:space="preserve">                                                   </w:t>
    </w:r>
  </w:p>
  <w:p w14:paraId="4D3B8DE1" w14:textId="77777777" w:rsidR="00AF7755" w:rsidRPr="004B3C39" w:rsidRDefault="00AF7755" w:rsidP="009E0893">
    <w:pPr>
      <w:pStyle w:val="Footer"/>
      <w:tabs>
        <w:tab w:val="clear" w:pos="8306"/>
        <w:tab w:val="right" w:pos="9498"/>
      </w:tabs>
      <w:ind w:right="-1339"/>
      <w:rPr>
        <w:rFonts w:ascii="Arial" w:hAnsi="Arial" w:cs="Arial"/>
        <w:sz w:val="16"/>
        <w:szCs w:val="16"/>
      </w:rPr>
    </w:pPr>
    <w:r>
      <w:rPr>
        <w:rFonts w:ascii="Arial" w:hAnsi="Arial" w:cs="Arial"/>
        <w:sz w:val="16"/>
        <w:szCs w:val="16"/>
      </w:rPr>
      <w:t xml:space="preserve">                              </w:t>
    </w:r>
  </w:p>
  <w:p w14:paraId="00BEBD3F" w14:textId="77777777" w:rsidR="00AF7755" w:rsidRPr="009E0893" w:rsidRDefault="00EB1AAC" w:rsidP="009E0893">
    <w:pPr>
      <w:pStyle w:val="Footer"/>
      <w:tabs>
        <w:tab w:val="clear" w:pos="8306"/>
        <w:tab w:val="right" w:pos="9498"/>
      </w:tabs>
      <w:ind w:right="-1339"/>
      <w:rPr>
        <w:rFonts w:ascii="Arial" w:hAnsi="Arial" w:cs="Arial"/>
        <w:sz w:val="16"/>
        <w:szCs w:val="16"/>
      </w:rPr>
    </w:pPr>
    <w:r>
      <w:rPr>
        <w:noProof/>
      </w:rPr>
      <mc:AlternateContent>
        <mc:Choice Requires="wps">
          <w:drawing>
            <wp:anchor distT="0" distB="0" distL="114300" distR="114300" simplePos="0" relativeHeight="251657728" behindDoc="0" locked="0" layoutInCell="1" allowOverlap="1" wp14:anchorId="051717E7" wp14:editId="61FCB9FE">
              <wp:simplePos x="0" y="0"/>
              <wp:positionH relativeFrom="column">
                <wp:posOffset>1010285</wp:posOffset>
              </wp:positionH>
              <wp:positionV relativeFrom="paragraph">
                <wp:posOffset>250190</wp:posOffset>
              </wp:positionV>
              <wp:extent cx="4997450" cy="28448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974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DD0B3" w14:textId="5647FC00" w:rsidR="00AF7755" w:rsidRDefault="00AF7755">
                          <w:proofErr w:type="spellStart"/>
                          <w:r w:rsidRPr="009E0893">
                            <w:rPr>
                              <w:rFonts w:ascii="Arial" w:hAnsi="Arial" w:cs="Arial"/>
                              <w:sz w:val="16"/>
                              <w:szCs w:val="16"/>
                            </w:rPr>
                            <w:t>Ensors</w:t>
                          </w:r>
                          <w:proofErr w:type="spellEnd"/>
                          <w:r w:rsidRPr="009E0893">
                            <w:rPr>
                              <w:rFonts w:ascii="Arial" w:hAnsi="Arial" w:cs="Arial"/>
                              <w:sz w:val="16"/>
                              <w:szCs w:val="16"/>
                            </w:rPr>
                            <w:t xml:space="preserve"> is the trading name of </w:t>
                          </w:r>
                          <w:proofErr w:type="spellStart"/>
                          <w:r w:rsidRPr="009E0893">
                            <w:rPr>
                              <w:rFonts w:ascii="Arial" w:hAnsi="Arial" w:cs="Arial"/>
                              <w:sz w:val="16"/>
                              <w:szCs w:val="16"/>
                            </w:rPr>
                            <w:t>Ensors</w:t>
                          </w:r>
                          <w:proofErr w:type="spellEnd"/>
                          <w:r w:rsidRPr="009E0893">
                            <w:rPr>
                              <w:rFonts w:ascii="Arial" w:hAnsi="Arial" w:cs="Arial"/>
                              <w:sz w:val="16"/>
                              <w:szCs w:val="16"/>
                            </w:rPr>
                            <w:t xml:space="preserve"> Accountants LLP.</w:t>
                          </w:r>
                          <w:r>
                            <w:rPr>
                              <w:rFonts w:ascii="Arial" w:hAnsi="Arial" w:cs="Arial"/>
                              <w:sz w:val="16"/>
                              <w:szCs w:val="16"/>
                            </w:rPr>
                            <w:t xml:space="preserve">                                             </w:t>
                          </w:r>
                          <w:r w:rsidRPr="009E0893">
                            <w:rPr>
                              <w:rFonts w:ascii="Arial" w:hAnsi="Arial" w:cs="Arial"/>
                              <w:sz w:val="16"/>
                              <w:szCs w:val="16"/>
                            </w:rPr>
                            <w:t xml:space="preserve">Published </w:t>
                          </w:r>
                          <w:r w:rsidR="00785147">
                            <w:rPr>
                              <w:rFonts w:ascii="Arial" w:hAnsi="Arial" w:cs="Arial"/>
                              <w:sz w:val="16"/>
                              <w:szCs w:val="16"/>
                            </w:rPr>
                            <w:t>30/11/2022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717E7" id="_x0000_t202" coordsize="21600,21600" o:spt="202" path="m,l,21600r21600,l21600,xe">
              <v:stroke joinstyle="miter"/>
              <v:path gradientshapeok="t" o:connecttype="rect"/>
            </v:shapetype>
            <v:shape id="_x0000_s1034" type="#_x0000_t202" style="position:absolute;margin-left:79.55pt;margin-top:19.7pt;width:393.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" stroked="f">
              <v:path arrowok="t"/>
              <v:textbox>
                <w:txbxContent>
                  <w:p w14:paraId="48CDD0B3" w14:textId="5647FC00" w:rsidR="00AF7755" w:rsidRDefault="00AF7755">
                    <w:proofErr w:type="spellStart"/>
                    <w:r w:rsidRPr="009E0893">
                      <w:rPr>
                        <w:rFonts w:ascii="Arial" w:hAnsi="Arial" w:cs="Arial"/>
                        <w:sz w:val="16"/>
                        <w:szCs w:val="16"/>
                      </w:rPr>
                      <w:t>Ensors</w:t>
                    </w:r>
                    <w:proofErr w:type="spellEnd"/>
                    <w:r w:rsidRPr="009E0893">
                      <w:rPr>
                        <w:rFonts w:ascii="Arial" w:hAnsi="Arial" w:cs="Arial"/>
                        <w:sz w:val="16"/>
                        <w:szCs w:val="16"/>
                      </w:rPr>
                      <w:t xml:space="preserve"> is the trading name of </w:t>
                    </w:r>
                    <w:proofErr w:type="spellStart"/>
                    <w:r w:rsidRPr="009E0893">
                      <w:rPr>
                        <w:rFonts w:ascii="Arial" w:hAnsi="Arial" w:cs="Arial"/>
                        <w:sz w:val="16"/>
                        <w:szCs w:val="16"/>
                      </w:rPr>
                      <w:t>Ensors</w:t>
                    </w:r>
                    <w:proofErr w:type="spellEnd"/>
                    <w:r w:rsidRPr="009E0893">
                      <w:rPr>
                        <w:rFonts w:ascii="Arial" w:hAnsi="Arial" w:cs="Arial"/>
                        <w:sz w:val="16"/>
                        <w:szCs w:val="16"/>
                      </w:rPr>
                      <w:t xml:space="preserve"> Accountants LLP.</w:t>
                    </w:r>
                    <w:r>
                      <w:rPr>
                        <w:rFonts w:ascii="Arial" w:hAnsi="Arial" w:cs="Arial"/>
                        <w:sz w:val="16"/>
                        <w:szCs w:val="16"/>
                      </w:rPr>
                      <w:t xml:space="preserve">                                             </w:t>
                    </w:r>
                    <w:r w:rsidRPr="009E0893">
                      <w:rPr>
                        <w:rFonts w:ascii="Arial" w:hAnsi="Arial" w:cs="Arial"/>
                        <w:sz w:val="16"/>
                        <w:szCs w:val="16"/>
                      </w:rPr>
                      <w:t xml:space="preserve">Published </w:t>
                    </w:r>
                    <w:r w:rsidR="00785147">
                      <w:rPr>
                        <w:rFonts w:ascii="Arial" w:hAnsi="Arial" w:cs="Arial"/>
                        <w:sz w:val="16"/>
                        <w:szCs w:val="16"/>
                      </w:rPr>
                      <w:t>30/11/2022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3E42F" w14:textId="77777777" w:rsidR="006A1DA5" w:rsidRDefault="006A1DA5">
      <w:r>
        <w:separator/>
      </w:r>
    </w:p>
  </w:footnote>
  <w:footnote w:type="continuationSeparator" w:id="0">
    <w:p w14:paraId="7FA41606" w14:textId="77777777" w:rsidR="006A1DA5" w:rsidRDefault="006A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4024332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0F614062"/>
    <w:multiLevelType w:val="multilevel"/>
    <w:tmpl w:val="D3C0F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CF6A6A"/>
    <w:multiLevelType w:val="hybridMultilevel"/>
    <w:tmpl w:val="7C0C3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814D26"/>
    <w:multiLevelType w:val="hybridMultilevel"/>
    <w:tmpl w:val="D060A900"/>
    <w:lvl w:ilvl="0" w:tplc="0809000F">
      <w:start w:val="1"/>
      <w:numFmt w:val="decimal"/>
      <w:lvlText w:val="%1."/>
      <w:lvlJc w:val="left"/>
      <w:pPr>
        <w:ind w:left="581" w:hanging="360"/>
      </w:p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abstractNum w:abstractNumId="4" w15:restartNumberingAfterBreak="0">
    <w:nsid w:val="6B4B6E47"/>
    <w:multiLevelType w:val="hybridMultilevel"/>
    <w:tmpl w:val="E8EAEE5C"/>
    <w:lvl w:ilvl="0" w:tplc="0809000F">
      <w:start w:val="1"/>
      <w:numFmt w:val="decimal"/>
      <w:lvlText w:val="%1."/>
      <w:lvlJc w:val="left"/>
      <w:pPr>
        <w:ind w:left="581" w:hanging="360"/>
      </w:pPr>
    </w:lvl>
    <w:lvl w:ilvl="1" w:tplc="08090019" w:tentative="1">
      <w:start w:val="1"/>
      <w:numFmt w:val="lowerLetter"/>
      <w:lvlText w:val="%2."/>
      <w:lvlJc w:val="left"/>
      <w:pPr>
        <w:ind w:left="1301" w:hanging="360"/>
      </w:pPr>
    </w:lvl>
    <w:lvl w:ilvl="2" w:tplc="0809001B" w:tentative="1">
      <w:start w:val="1"/>
      <w:numFmt w:val="lowerRoman"/>
      <w:lvlText w:val="%3."/>
      <w:lvlJc w:val="right"/>
      <w:pPr>
        <w:ind w:left="2021" w:hanging="180"/>
      </w:pPr>
    </w:lvl>
    <w:lvl w:ilvl="3" w:tplc="0809000F" w:tentative="1">
      <w:start w:val="1"/>
      <w:numFmt w:val="decimal"/>
      <w:lvlText w:val="%4."/>
      <w:lvlJc w:val="left"/>
      <w:pPr>
        <w:ind w:left="2741" w:hanging="360"/>
      </w:pPr>
    </w:lvl>
    <w:lvl w:ilvl="4" w:tplc="08090019" w:tentative="1">
      <w:start w:val="1"/>
      <w:numFmt w:val="lowerLetter"/>
      <w:lvlText w:val="%5."/>
      <w:lvlJc w:val="left"/>
      <w:pPr>
        <w:ind w:left="3461" w:hanging="360"/>
      </w:pPr>
    </w:lvl>
    <w:lvl w:ilvl="5" w:tplc="0809001B" w:tentative="1">
      <w:start w:val="1"/>
      <w:numFmt w:val="lowerRoman"/>
      <w:lvlText w:val="%6."/>
      <w:lvlJc w:val="right"/>
      <w:pPr>
        <w:ind w:left="4181" w:hanging="180"/>
      </w:pPr>
    </w:lvl>
    <w:lvl w:ilvl="6" w:tplc="0809000F" w:tentative="1">
      <w:start w:val="1"/>
      <w:numFmt w:val="decimal"/>
      <w:lvlText w:val="%7."/>
      <w:lvlJc w:val="left"/>
      <w:pPr>
        <w:ind w:left="4901" w:hanging="360"/>
      </w:pPr>
    </w:lvl>
    <w:lvl w:ilvl="7" w:tplc="08090019" w:tentative="1">
      <w:start w:val="1"/>
      <w:numFmt w:val="lowerLetter"/>
      <w:lvlText w:val="%8."/>
      <w:lvlJc w:val="left"/>
      <w:pPr>
        <w:ind w:left="5621" w:hanging="360"/>
      </w:pPr>
    </w:lvl>
    <w:lvl w:ilvl="8" w:tplc="0809001B" w:tentative="1">
      <w:start w:val="1"/>
      <w:numFmt w:val="lowerRoman"/>
      <w:lvlText w:val="%9."/>
      <w:lvlJc w:val="right"/>
      <w:pPr>
        <w:ind w:left="6341"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style="mso-position-horizontal:center;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CA4"/>
    <w:rsid w:val="00076BD2"/>
    <w:rsid w:val="00092046"/>
    <w:rsid w:val="000C67A8"/>
    <w:rsid w:val="00161E56"/>
    <w:rsid w:val="00172446"/>
    <w:rsid w:val="001F24F5"/>
    <w:rsid w:val="00260343"/>
    <w:rsid w:val="00280F88"/>
    <w:rsid w:val="00287BCA"/>
    <w:rsid w:val="002919E7"/>
    <w:rsid w:val="002D4CF4"/>
    <w:rsid w:val="00343784"/>
    <w:rsid w:val="00352B41"/>
    <w:rsid w:val="00392F8B"/>
    <w:rsid w:val="00395CB6"/>
    <w:rsid w:val="003A3CA4"/>
    <w:rsid w:val="0044699C"/>
    <w:rsid w:val="004B0CB1"/>
    <w:rsid w:val="004B3C39"/>
    <w:rsid w:val="004C1278"/>
    <w:rsid w:val="004E6D4E"/>
    <w:rsid w:val="00551552"/>
    <w:rsid w:val="005C61E5"/>
    <w:rsid w:val="005D672D"/>
    <w:rsid w:val="005E3FCB"/>
    <w:rsid w:val="005E5987"/>
    <w:rsid w:val="00691B34"/>
    <w:rsid w:val="006A1DA5"/>
    <w:rsid w:val="006F6185"/>
    <w:rsid w:val="00715181"/>
    <w:rsid w:val="00775D9B"/>
    <w:rsid w:val="00785147"/>
    <w:rsid w:val="007B5D55"/>
    <w:rsid w:val="00805A62"/>
    <w:rsid w:val="00845D64"/>
    <w:rsid w:val="00876996"/>
    <w:rsid w:val="009221AC"/>
    <w:rsid w:val="009711F4"/>
    <w:rsid w:val="009E0893"/>
    <w:rsid w:val="00A457BA"/>
    <w:rsid w:val="00A62A5B"/>
    <w:rsid w:val="00AA375F"/>
    <w:rsid w:val="00AC11BD"/>
    <w:rsid w:val="00AC13C0"/>
    <w:rsid w:val="00AF7755"/>
    <w:rsid w:val="00B573D3"/>
    <w:rsid w:val="00C41CF9"/>
    <w:rsid w:val="00C708BE"/>
    <w:rsid w:val="00CC2534"/>
    <w:rsid w:val="00CC70E0"/>
    <w:rsid w:val="00DB36A3"/>
    <w:rsid w:val="00E518FD"/>
    <w:rsid w:val="00E8789A"/>
    <w:rsid w:val="00EB1AAC"/>
    <w:rsid w:val="00EE7003"/>
    <w:rsid w:val="00FA4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center;mso-width-percent:400;mso-height-percent:200;mso-width-relative:margin;mso-height-relative:margin" fillcolor="white">
      <v:fill color="white"/>
      <v:textbox style="mso-fit-shape-to-text:t"/>
    </o:shapedefaults>
    <o:shapelayout v:ext="edit">
      <o:idmap v:ext="edit" data="1"/>
    </o:shapelayout>
  </w:shapeDefaults>
  <w:doNotEmbedSmartTags/>
  <w:decimalSymbol w:val="."/>
  <w:listSeparator w:val=","/>
  <w14:docId w14:val="792E72AE"/>
  <w15:chartTrackingRefBased/>
  <w15:docId w15:val="{E95FDCD2-B706-5D4B-A3E3-13B41D40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603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26034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352B41"/>
    <w:pPr>
      <w:keepNext/>
      <w:outlineLvl w:val="2"/>
    </w:pPr>
    <w:rPr>
      <w:rFonts w:ascii="Arial" w:hAnsi="Arial"/>
      <w:sz w:val="96"/>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F6185"/>
    <w:rPr>
      <w:color w:val="0000FF"/>
      <w:u w:val="single"/>
    </w:rPr>
  </w:style>
  <w:style w:type="paragraph" w:styleId="Header">
    <w:name w:val="header"/>
    <w:basedOn w:val="Normal"/>
    <w:rsid w:val="00845D64"/>
    <w:pPr>
      <w:tabs>
        <w:tab w:val="center" w:pos="4153"/>
        <w:tab w:val="right" w:pos="8306"/>
      </w:tabs>
    </w:pPr>
  </w:style>
  <w:style w:type="paragraph" w:styleId="Footer">
    <w:name w:val="footer"/>
    <w:basedOn w:val="Normal"/>
    <w:rsid w:val="00845D64"/>
    <w:pPr>
      <w:tabs>
        <w:tab w:val="center" w:pos="4153"/>
        <w:tab w:val="right" w:pos="8306"/>
      </w:tabs>
    </w:pPr>
  </w:style>
  <w:style w:type="character" w:customStyle="1" w:styleId="Heading3Char">
    <w:name w:val="Heading 3 Char"/>
    <w:link w:val="Heading3"/>
    <w:rsid w:val="00352B41"/>
    <w:rPr>
      <w:rFonts w:ascii="Arial" w:hAnsi="Arial"/>
      <w:sz w:val="96"/>
    </w:rPr>
  </w:style>
  <w:style w:type="paragraph" w:styleId="NormalWeb">
    <w:name w:val="Normal (Web)"/>
    <w:basedOn w:val="Normal"/>
    <w:uiPriority w:val="99"/>
    <w:unhideWhenUsed/>
    <w:rsid w:val="00395CB6"/>
    <w:pPr>
      <w:spacing w:before="100" w:beforeAutospacing="1" w:after="100" w:afterAutospacing="1"/>
    </w:pPr>
    <w:rPr>
      <w:lang w:eastAsia="en-GB"/>
    </w:rPr>
  </w:style>
  <w:style w:type="table" w:styleId="TableGrid">
    <w:name w:val="Table Grid"/>
    <w:basedOn w:val="TableNormal"/>
    <w:uiPriority w:val="59"/>
    <w:rsid w:val="00395CB6"/>
    <w:rPr>
      <w:rFonts w:ascii="Arial" w:eastAsia="Calibri"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5CB6"/>
    <w:pPr>
      <w:spacing w:after="200" w:line="276" w:lineRule="auto"/>
      <w:ind w:left="720"/>
      <w:contextualSpacing/>
    </w:pPr>
    <w:rPr>
      <w:rFonts w:ascii="Arial" w:eastAsia="Calibri" w:hAnsi="Arial"/>
      <w:sz w:val="20"/>
      <w:szCs w:val="22"/>
    </w:rPr>
  </w:style>
  <w:style w:type="paragraph" w:styleId="BalloonText">
    <w:name w:val="Balloon Text"/>
    <w:basedOn w:val="Normal"/>
    <w:link w:val="BalloonTextChar"/>
    <w:rsid w:val="009711F4"/>
    <w:rPr>
      <w:rFonts w:ascii="Tahoma" w:hAnsi="Tahoma" w:cs="Tahoma"/>
      <w:sz w:val="16"/>
      <w:szCs w:val="16"/>
    </w:rPr>
  </w:style>
  <w:style w:type="character" w:customStyle="1" w:styleId="BalloonTextChar">
    <w:name w:val="Balloon Text Char"/>
    <w:link w:val="BalloonText"/>
    <w:rsid w:val="009711F4"/>
    <w:rPr>
      <w:rFonts w:ascii="Tahoma" w:hAnsi="Tahoma" w:cs="Tahoma"/>
      <w:sz w:val="16"/>
      <w:szCs w:val="16"/>
      <w:lang w:eastAsia="en-US"/>
    </w:rPr>
  </w:style>
  <w:style w:type="character" w:customStyle="1" w:styleId="Heading1Char">
    <w:name w:val="Heading 1 Char"/>
    <w:basedOn w:val="DefaultParagraphFont"/>
    <w:link w:val="Heading1"/>
    <w:rsid w:val="002603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260343"/>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260343"/>
    <w:pPr>
      <w:spacing w:before="180" w:after="180"/>
    </w:pPr>
    <w:rPr>
      <w:rFonts w:ascii="Arial" w:eastAsiaTheme="minorHAnsi" w:hAnsi="Arial" w:cstheme="minorBidi"/>
      <w:sz w:val="20"/>
      <w:lang w:val="en-US"/>
    </w:rPr>
  </w:style>
  <w:style w:type="character" w:customStyle="1" w:styleId="BodyTextChar">
    <w:name w:val="Body Text Char"/>
    <w:basedOn w:val="DefaultParagraphFont"/>
    <w:link w:val="BodyText"/>
    <w:rsid w:val="00260343"/>
    <w:rPr>
      <w:rFonts w:ascii="Arial" w:eastAsiaTheme="minorHAnsi" w:hAnsi="Arial" w:cstheme="minorBidi"/>
      <w:szCs w:val="24"/>
      <w:lang w:val="en-US"/>
    </w:rPr>
  </w:style>
  <w:style w:type="paragraph" w:customStyle="1" w:styleId="FirstParagraph">
    <w:name w:val="First Paragraph"/>
    <w:basedOn w:val="BodyText"/>
    <w:next w:val="BodyText"/>
    <w:qFormat/>
    <w:rsid w:val="00260343"/>
  </w:style>
  <w:style w:type="paragraph" w:customStyle="1" w:styleId="Compact">
    <w:name w:val="Compact"/>
    <w:basedOn w:val="BodyText"/>
    <w:qFormat/>
    <w:rsid w:val="00260343"/>
    <w:pPr>
      <w:spacing w:before="36" w:after="36"/>
    </w:pPr>
  </w:style>
  <w:style w:type="table" w:customStyle="1" w:styleId="Table">
    <w:name w:val="Table"/>
    <w:semiHidden/>
    <w:unhideWhenUsed/>
    <w:qFormat/>
    <w:rsid w:val="00260343"/>
    <w:pPr>
      <w:spacing w:after="200"/>
    </w:pPr>
    <w:rPr>
      <w:rFonts w:asciiTheme="minorHAnsi" w:eastAsiaTheme="minorHAnsi" w:hAnsiTheme="minorHAnsi" w:cstheme="minorBidi"/>
      <w:sz w:val="24"/>
      <w:szCs w:val="24"/>
      <w:lang w:val="en-US"/>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2622</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White Space Design</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Moyse</dc:creator>
  <cp:keywords/>
  <cp:lastModifiedBy>Lucy McLaughlin</cp:lastModifiedBy>
  <cp:revision>2</cp:revision>
  <dcterms:created xsi:type="dcterms:W3CDTF">2022-12-02T13:46:00Z</dcterms:created>
  <dcterms:modified xsi:type="dcterms:W3CDTF">2022-12-02T13:46:00Z</dcterms:modified>
</cp:coreProperties>
</file>